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55C1" w14:textId="4C867B70" w:rsidR="001B4740" w:rsidRPr="001B4740" w:rsidRDefault="00A06C59" w:rsidP="00742EB8">
      <w:pPr>
        <w:rPr>
          <w:b/>
          <w:bCs/>
          <w:sz w:val="32"/>
          <w:szCs w:val="32"/>
        </w:rPr>
      </w:pPr>
      <w:r>
        <w:rPr>
          <w:b/>
          <w:bCs/>
          <w:sz w:val="32"/>
          <w:szCs w:val="32"/>
        </w:rPr>
        <w:br/>
      </w:r>
      <w:r w:rsidR="00742EB8" w:rsidRPr="00742EB8">
        <w:rPr>
          <w:b/>
          <w:bCs/>
          <w:sz w:val="36"/>
          <w:szCs w:val="36"/>
        </w:rPr>
        <w:t>Elections municipales 2026</w:t>
      </w:r>
      <w:r w:rsidR="00742EB8">
        <w:rPr>
          <w:b/>
          <w:bCs/>
          <w:sz w:val="32"/>
          <w:szCs w:val="32"/>
        </w:rPr>
        <w:br/>
      </w:r>
      <w:r w:rsidR="00742EB8" w:rsidRPr="00742EB8">
        <w:rPr>
          <w:b/>
          <w:bCs/>
          <w:sz w:val="28"/>
          <w:szCs w:val="28"/>
        </w:rPr>
        <w:t>Soyez acteur CFDT de l’action sociale de proximité dans votre commune</w:t>
      </w:r>
    </w:p>
    <w:p w14:paraId="26BAF9B6" w14:textId="77777777" w:rsidR="001B4740" w:rsidRDefault="001B4740">
      <w:pPr>
        <w:rPr>
          <w:b/>
          <w:bCs/>
        </w:rPr>
      </w:pPr>
    </w:p>
    <w:p w14:paraId="5004316B" w14:textId="34DDD487" w:rsidR="00D37938" w:rsidRPr="00916601" w:rsidRDefault="00D37938">
      <w:pPr>
        <w:rPr>
          <w:b/>
          <w:bCs/>
          <w:sz w:val="28"/>
          <w:szCs w:val="28"/>
        </w:rPr>
      </w:pPr>
      <w:r w:rsidRPr="00916601">
        <w:rPr>
          <w:b/>
          <w:bCs/>
          <w:sz w:val="28"/>
          <w:szCs w:val="28"/>
        </w:rPr>
        <w:t>Les fondements juridiques</w:t>
      </w:r>
      <w:r w:rsidR="001B4740" w:rsidRPr="00916601">
        <w:rPr>
          <w:b/>
          <w:bCs/>
          <w:sz w:val="28"/>
          <w:szCs w:val="28"/>
        </w:rPr>
        <w:t xml:space="preserve"> d’un CCAS ou CIAS</w:t>
      </w:r>
      <w:r w:rsidRPr="00916601">
        <w:rPr>
          <w:b/>
          <w:bCs/>
          <w:sz w:val="28"/>
          <w:szCs w:val="28"/>
        </w:rPr>
        <w:t xml:space="preserve"> : </w:t>
      </w:r>
    </w:p>
    <w:p w14:paraId="1A17C862" w14:textId="4A2A3BC5" w:rsidR="00D37938" w:rsidRPr="00492606" w:rsidRDefault="001B4740">
      <w:pPr>
        <w:rPr>
          <w:sz w:val="26"/>
          <w:szCs w:val="26"/>
        </w:rPr>
      </w:pPr>
      <w:r w:rsidRPr="00492606">
        <w:rPr>
          <w:sz w:val="26"/>
          <w:szCs w:val="26"/>
        </w:rPr>
        <w:t>C’est l</w:t>
      </w:r>
      <w:r w:rsidR="00D37938" w:rsidRPr="00492606">
        <w:rPr>
          <w:sz w:val="26"/>
          <w:szCs w:val="26"/>
        </w:rPr>
        <w:t xml:space="preserve">e Décret du 06/05/1995 </w:t>
      </w:r>
      <w:r w:rsidRPr="00492606">
        <w:rPr>
          <w:sz w:val="26"/>
          <w:szCs w:val="26"/>
        </w:rPr>
        <w:t xml:space="preserve">qui les définit, il </w:t>
      </w:r>
      <w:r w:rsidR="00D37938" w:rsidRPr="00492606">
        <w:rPr>
          <w:sz w:val="26"/>
          <w:szCs w:val="26"/>
        </w:rPr>
        <w:t xml:space="preserve">précise : «Le CCAS assure un rôle de coordination du développement de </w:t>
      </w:r>
      <w:r w:rsidR="00D37938" w:rsidRPr="00492606">
        <w:rPr>
          <w:b/>
          <w:bCs/>
          <w:sz w:val="26"/>
          <w:szCs w:val="26"/>
        </w:rPr>
        <w:t>l’action sociale</w:t>
      </w:r>
      <w:r w:rsidR="00D37938" w:rsidRPr="00492606">
        <w:rPr>
          <w:sz w:val="26"/>
          <w:szCs w:val="26"/>
        </w:rPr>
        <w:t xml:space="preserve"> du territoire de la commune mais aussi de l’intercommunalité. »</w:t>
      </w:r>
    </w:p>
    <w:p w14:paraId="307CD30B" w14:textId="21582FF3" w:rsidR="00D37938" w:rsidRPr="00492606" w:rsidRDefault="00D37938">
      <w:pPr>
        <w:rPr>
          <w:sz w:val="26"/>
          <w:szCs w:val="26"/>
        </w:rPr>
      </w:pPr>
      <w:r w:rsidRPr="00492606">
        <w:rPr>
          <w:sz w:val="26"/>
          <w:szCs w:val="26"/>
        </w:rPr>
        <w:t>Le CCAS a une obligation d’observation des besoins sociaux sur la commune : Cet exercice s’effectue par la programmation d’une Analyse des Besoins Sociaux (ABS)</w:t>
      </w:r>
    </w:p>
    <w:p w14:paraId="2D571690" w14:textId="77777777" w:rsidR="00F3126E" w:rsidRPr="00492606" w:rsidRDefault="00D37938" w:rsidP="00F3126E">
      <w:pPr>
        <w:rPr>
          <w:sz w:val="26"/>
          <w:szCs w:val="26"/>
        </w:rPr>
      </w:pPr>
      <w:r w:rsidRPr="00492606">
        <w:rPr>
          <w:sz w:val="26"/>
          <w:szCs w:val="26"/>
        </w:rPr>
        <w:t xml:space="preserve">La loi du 02/01/2002 Art L116-1 définit </w:t>
      </w:r>
      <w:r w:rsidRPr="00492606">
        <w:rPr>
          <w:b/>
          <w:bCs/>
          <w:sz w:val="26"/>
          <w:szCs w:val="26"/>
        </w:rPr>
        <w:t>l’Action Sociale</w:t>
      </w:r>
      <w:r w:rsidRPr="00492606">
        <w:rPr>
          <w:sz w:val="26"/>
          <w:szCs w:val="26"/>
        </w:rPr>
        <w:t xml:space="preserve"> : </w:t>
      </w:r>
    </w:p>
    <w:p w14:paraId="3541016C" w14:textId="77777777" w:rsidR="00F3126E" w:rsidRPr="00492606" w:rsidRDefault="00D37938" w:rsidP="00F3126E">
      <w:pPr>
        <w:pStyle w:val="Paragraphedeliste"/>
        <w:numPr>
          <w:ilvl w:val="0"/>
          <w:numId w:val="2"/>
        </w:numPr>
        <w:rPr>
          <w:sz w:val="26"/>
          <w:szCs w:val="26"/>
        </w:rPr>
      </w:pPr>
      <w:r w:rsidRPr="00492606">
        <w:rPr>
          <w:sz w:val="26"/>
          <w:szCs w:val="26"/>
        </w:rPr>
        <w:t xml:space="preserve">«Elle tend à promouvoir dans le cadre interministériel, l’autonomie et la protection des personnes, la cohésion sociale, l’exercice de la citoyenneté, à prévenir les exclusions et à en corriger les effets. </w:t>
      </w:r>
    </w:p>
    <w:p w14:paraId="01A20018" w14:textId="77777777" w:rsidR="00F3126E" w:rsidRPr="00492606" w:rsidRDefault="00D37938" w:rsidP="00F3126E">
      <w:pPr>
        <w:pStyle w:val="Paragraphedeliste"/>
        <w:numPr>
          <w:ilvl w:val="0"/>
          <w:numId w:val="2"/>
        </w:numPr>
        <w:rPr>
          <w:sz w:val="26"/>
          <w:szCs w:val="26"/>
        </w:rPr>
      </w:pPr>
      <w:r w:rsidRPr="00492606">
        <w:rPr>
          <w:sz w:val="26"/>
          <w:szCs w:val="26"/>
        </w:rPr>
        <w:t>Elle repose sur une évaluation continue des besoins et des attentes des personnes handicapées et des personnes âgées, des personnes en familles vulnérables, en situation de précarité ou de pauvreté, et sur la mise à leur disposition de prestations en espèces ou en nature.</w:t>
      </w:r>
    </w:p>
    <w:p w14:paraId="27C31F12" w14:textId="61E3F7B0" w:rsidR="00D37938" w:rsidRPr="00492606" w:rsidRDefault="00F3126E" w:rsidP="00F3126E">
      <w:pPr>
        <w:pStyle w:val="Paragraphedeliste"/>
        <w:numPr>
          <w:ilvl w:val="0"/>
          <w:numId w:val="2"/>
        </w:numPr>
        <w:rPr>
          <w:sz w:val="26"/>
          <w:szCs w:val="26"/>
        </w:rPr>
      </w:pPr>
      <w:r w:rsidRPr="00492606">
        <w:rPr>
          <w:sz w:val="26"/>
          <w:szCs w:val="26"/>
        </w:rPr>
        <w:t>Elle</w:t>
      </w:r>
      <w:r w:rsidR="00D37938" w:rsidRPr="00492606">
        <w:rPr>
          <w:sz w:val="26"/>
          <w:szCs w:val="26"/>
        </w:rPr>
        <w:t xml:space="preserve"> est mise en œuvre par l’État, les collectivités territoriales et leurs établissements publics, les organismes de Sécurité Sociale, les associations ainsi que par les institutions sociales, médico-sociales. »</w:t>
      </w:r>
    </w:p>
    <w:p w14:paraId="25896963" w14:textId="77777777" w:rsidR="00F3126E" w:rsidRPr="00916601" w:rsidRDefault="00F3126E" w:rsidP="00F3126E">
      <w:pPr>
        <w:rPr>
          <w:sz w:val="28"/>
          <w:szCs w:val="28"/>
        </w:rPr>
      </w:pPr>
      <w:r w:rsidRPr="00916601">
        <w:rPr>
          <w:b/>
          <w:bCs/>
          <w:sz w:val="28"/>
          <w:szCs w:val="28"/>
        </w:rPr>
        <w:t>L’Action Sociale de Proximité :</w:t>
      </w:r>
      <w:r w:rsidR="00D37938" w:rsidRPr="00916601">
        <w:rPr>
          <w:sz w:val="28"/>
          <w:szCs w:val="28"/>
        </w:rPr>
        <w:t xml:space="preserve"> </w:t>
      </w:r>
    </w:p>
    <w:p w14:paraId="54FCE8BE" w14:textId="77777777" w:rsidR="00F3126E" w:rsidRPr="00492606" w:rsidRDefault="00D37938" w:rsidP="00F3126E">
      <w:pPr>
        <w:pStyle w:val="Paragraphedeliste"/>
        <w:numPr>
          <w:ilvl w:val="0"/>
          <w:numId w:val="2"/>
        </w:numPr>
        <w:rPr>
          <w:sz w:val="26"/>
          <w:szCs w:val="26"/>
        </w:rPr>
      </w:pPr>
      <w:r w:rsidRPr="00492606">
        <w:rPr>
          <w:sz w:val="26"/>
          <w:szCs w:val="26"/>
        </w:rPr>
        <w:t>Elle est constituée par un ensemble de mesures prises par une collectivité en vue d’a</w:t>
      </w:r>
      <w:r w:rsidR="00F3126E" w:rsidRPr="00492606">
        <w:rPr>
          <w:sz w:val="26"/>
          <w:szCs w:val="26"/>
        </w:rPr>
        <w:t>t</w:t>
      </w:r>
      <w:r w:rsidRPr="00492606">
        <w:rPr>
          <w:sz w:val="26"/>
          <w:szCs w:val="26"/>
        </w:rPr>
        <w:t xml:space="preserve">teindre des objectifs de prévention, de thérapie, d’éducation ou de promotion </w:t>
      </w:r>
    </w:p>
    <w:p w14:paraId="7C9AF3C8" w14:textId="77777777" w:rsidR="00F3126E" w:rsidRPr="00492606" w:rsidRDefault="00D37938" w:rsidP="00F3126E">
      <w:pPr>
        <w:pStyle w:val="Paragraphedeliste"/>
        <w:numPr>
          <w:ilvl w:val="0"/>
          <w:numId w:val="2"/>
        </w:numPr>
        <w:rPr>
          <w:sz w:val="26"/>
          <w:szCs w:val="26"/>
        </w:rPr>
      </w:pPr>
      <w:r w:rsidRPr="00492606">
        <w:rPr>
          <w:sz w:val="26"/>
          <w:szCs w:val="26"/>
        </w:rPr>
        <w:t xml:space="preserve">Elle vise à lutter contre l’inadaptation sociale, matérielle, physique, mentale, psychique. </w:t>
      </w:r>
    </w:p>
    <w:p w14:paraId="71121F62" w14:textId="77777777" w:rsidR="00F3126E" w:rsidRPr="00492606" w:rsidRDefault="00D37938" w:rsidP="00F3126E">
      <w:pPr>
        <w:pStyle w:val="Paragraphedeliste"/>
        <w:numPr>
          <w:ilvl w:val="0"/>
          <w:numId w:val="2"/>
        </w:numPr>
        <w:rPr>
          <w:sz w:val="26"/>
          <w:szCs w:val="26"/>
        </w:rPr>
      </w:pPr>
      <w:r w:rsidRPr="00492606">
        <w:rPr>
          <w:sz w:val="26"/>
          <w:szCs w:val="26"/>
        </w:rPr>
        <w:t xml:space="preserve">Elle dépasse le cadre de l’assistance  </w:t>
      </w:r>
    </w:p>
    <w:p w14:paraId="3EA1F7FB" w14:textId="77777777" w:rsidR="00F3126E" w:rsidRPr="00492606" w:rsidRDefault="00D37938" w:rsidP="00F3126E">
      <w:pPr>
        <w:pStyle w:val="Paragraphedeliste"/>
        <w:numPr>
          <w:ilvl w:val="0"/>
          <w:numId w:val="2"/>
        </w:numPr>
        <w:rPr>
          <w:sz w:val="26"/>
          <w:szCs w:val="26"/>
        </w:rPr>
      </w:pPr>
      <w:r w:rsidRPr="00492606">
        <w:rPr>
          <w:sz w:val="26"/>
          <w:szCs w:val="26"/>
        </w:rPr>
        <w:t>Elle est globale, non limitée à une catégorie d’actions réservées à des gens en situation marginale</w:t>
      </w:r>
    </w:p>
    <w:p w14:paraId="3CC90C0E" w14:textId="77777777" w:rsidR="00F3126E" w:rsidRPr="00492606" w:rsidRDefault="00D37938" w:rsidP="00F3126E">
      <w:pPr>
        <w:pStyle w:val="Paragraphedeliste"/>
        <w:numPr>
          <w:ilvl w:val="0"/>
          <w:numId w:val="2"/>
        </w:numPr>
        <w:rPr>
          <w:sz w:val="26"/>
          <w:szCs w:val="26"/>
        </w:rPr>
      </w:pPr>
      <w:r w:rsidRPr="00492606">
        <w:rPr>
          <w:sz w:val="26"/>
          <w:szCs w:val="26"/>
        </w:rPr>
        <w:t>Elle n’est pas limitée au strict nécessaire</w:t>
      </w:r>
    </w:p>
    <w:p w14:paraId="30682B23" w14:textId="03BB200C" w:rsidR="00D37938" w:rsidRPr="00492606" w:rsidRDefault="00D37938" w:rsidP="00F3126E">
      <w:pPr>
        <w:pStyle w:val="Paragraphedeliste"/>
        <w:numPr>
          <w:ilvl w:val="0"/>
          <w:numId w:val="2"/>
        </w:numPr>
        <w:rPr>
          <w:sz w:val="26"/>
          <w:szCs w:val="26"/>
        </w:rPr>
      </w:pPr>
      <w:r w:rsidRPr="00492606">
        <w:rPr>
          <w:sz w:val="26"/>
          <w:szCs w:val="26"/>
        </w:rPr>
        <w:t>Elle vise à favoriser le développement global de l’individu</w:t>
      </w:r>
    </w:p>
    <w:p w14:paraId="23EB6C62" w14:textId="7AC7B752" w:rsidR="001B4740" w:rsidRDefault="001B4740" w:rsidP="001B4740">
      <w:pPr>
        <w:pStyle w:val="Paragraphedeliste"/>
        <w:numPr>
          <w:ilvl w:val="0"/>
          <w:numId w:val="2"/>
        </w:numPr>
        <w:rPr>
          <w:sz w:val="26"/>
          <w:szCs w:val="26"/>
        </w:rPr>
      </w:pPr>
      <w:r w:rsidRPr="00492606">
        <w:rPr>
          <w:sz w:val="26"/>
          <w:szCs w:val="26"/>
        </w:rPr>
        <w:lastRenderedPageBreak/>
        <w:t xml:space="preserve">L’action sociale locale est le domaine privilégié des collectivités locales en particulier des communes et des CCAS/CIAS sans oublier le rôle moteur de l’État.  </w:t>
      </w:r>
    </w:p>
    <w:p w14:paraId="092D1318" w14:textId="77777777" w:rsidR="00742EB8" w:rsidRPr="00492606" w:rsidRDefault="00742EB8" w:rsidP="00742EB8">
      <w:pPr>
        <w:pStyle w:val="Paragraphedeliste"/>
        <w:rPr>
          <w:sz w:val="26"/>
          <w:szCs w:val="26"/>
        </w:rPr>
      </w:pPr>
    </w:p>
    <w:p w14:paraId="5A696FBF" w14:textId="61F45937" w:rsidR="00742EB8" w:rsidRPr="00A34720" w:rsidRDefault="00742EB8" w:rsidP="00742EB8">
      <w:pPr>
        <w:rPr>
          <w:rFonts w:cstheme="minorHAnsi"/>
          <w:b/>
          <w:bCs/>
          <w:sz w:val="28"/>
          <w:szCs w:val="28"/>
        </w:rPr>
      </w:pPr>
      <w:r w:rsidRPr="00A34720">
        <w:rPr>
          <w:rFonts w:cstheme="minorHAnsi"/>
          <w:b/>
          <w:bCs/>
          <w:sz w:val="28"/>
          <w:szCs w:val="28"/>
        </w:rPr>
        <w:t>N</w:t>
      </w:r>
      <w:r w:rsidR="00A34720">
        <w:rPr>
          <w:rFonts w:cstheme="minorHAnsi"/>
          <w:b/>
          <w:bCs/>
          <w:sz w:val="28"/>
          <w:szCs w:val="28"/>
        </w:rPr>
        <w:t>e</w:t>
      </w:r>
      <w:r w:rsidRPr="00A34720">
        <w:rPr>
          <w:rFonts w:cstheme="minorHAnsi"/>
          <w:b/>
          <w:bCs/>
          <w:sz w:val="28"/>
          <w:szCs w:val="28"/>
        </w:rPr>
        <w:t xml:space="preserve"> </w:t>
      </w:r>
      <w:r w:rsidR="00A34720">
        <w:rPr>
          <w:rFonts w:cstheme="minorHAnsi"/>
          <w:b/>
          <w:bCs/>
          <w:sz w:val="28"/>
          <w:szCs w:val="28"/>
        </w:rPr>
        <w:t>pas perdre de vue</w:t>
      </w:r>
      <w:r w:rsidRPr="00A34720">
        <w:rPr>
          <w:rFonts w:cstheme="minorHAnsi"/>
          <w:b/>
          <w:bCs/>
          <w:sz w:val="28"/>
          <w:szCs w:val="28"/>
        </w:rPr>
        <w:t xml:space="preserve"> </w:t>
      </w:r>
      <w:r w:rsidR="00A34720">
        <w:rPr>
          <w:rFonts w:cstheme="minorHAnsi"/>
          <w:b/>
          <w:bCs/>
          <w:sz w:val="28"/>
          <w:szCs w:val="28"/>
        </w:rPr>
        <w:t xml:space="preserve">nos valeurs cédétistes </w:t>
      </w:r>
    </w:p>
    <w:p w14:paraId="2A414454" w14:textId="75C365C1" w:rsidR="00A34720" w:rsidRPr="00A34720" w:rsidRDefault="00742EB8" w:rsidP="00A34720">
      <w:pPr>
        <w:pStyle w:val="Paragraphedeliste"/>
        <w:numPr>
          <w:ilvl w:val="0"/>
          <w:numId w:val="4"/>
        </w:numPr>
        <w:rPr>
          <w:rFonts w:cstheme="minorHAnsi"/>
          <w:sz w:val="26"/>
          <w:szCs w:val="26"/>
        </w:rPr>
      </w:pPr>
      <w:r w:rsidRPr="00A34720">
        <w:rPr>
          <w:rFonts w:cstheme="minorHAnsi"/>
          <w:sz w:val="26"/>
          <w:szCs w:val="26"/>
        </w:rPr>
        <w:t>On a bien noté que la période actuelle est mondialement bouleversée. Elle bascule à dans des logiques d’empires dont on se croyait vaccinés : affrontements directs, violence entre Etats, entre citoyens et, in fine</w:t>
      </w:r>
      <w:r w:rsidR="00A34720" w:rsidRPr="00A34720">
        <w:rPr>
          <w:rFonts w:cstheme="minorHAnsi"/>
          <w:sz w:val="26"/>
          <w:szCs w:val="26"/>
        </w:rPr>
        <w:t xml:space="preserve"> le </w:t>
      </w:r>
      <w:r w:rsidRPr="00A34720">
        <w:rPr>
          <w:rFonts w:cstheme="minorHAnsi"/>
          <w:sz w:val="26"/>
          <w:szCs w:val="26"/>
        </w:rPr>
        <w:t>chaos.</w:t>
      </w:r>
    </w:p>
    <w:p w14:paraId="4878407B" w14:textId="3EF0783B" w:rsidR="00742EB8" w:rsidRPr="00A34720" w:rsidRDefault="00742EB8" w:rsidP="00A34720">
      <w:pPr>
        <w:pStyle w:val="Paragraphedeliste"/>
        <w:numPr>
          <w:ilvl w:val="0"/>
          <w:numId w:val="4"/>
        </w:numPr>
        <w:rPr>
          <w:rFonts w:cstheme="minorHAnsi"/>
          <w:sz w:val="26"/>
          <w:szCs w:val="26"/>
        </w:rPr>
      </w:pPr>
      <w:r w:rsidRPr="00A34720">
        <w:rPr>
          <w:rFonts w:cstheme="minorHAnsi"/>
          <w:sz w:val="26"/>
          <w:szCs w:val="26"/>
        </w:rPr>
        <w:t>Le nombre de démocraties, après avoir culminé à la fin du XXème et au début du XXIème siècles se rétrécit. On se dit même qu’à terme, l’Europe, le Royaume uni, le Canada, le Brésil et l’Australie pourrait devenir les derniers des Mohicans si les Etats-Unis, poursuivaient les glissades initiées par Donald Trump.</w:t>
      </w:r>
    </w:p>
    <w:p w14:paraId="484E82D4" w14:textId="77777777" w:rsidR="00742EB8" w:rsidRPr="00A34720" w:rsidRDefault="00742EB8" w:rsidP="00A34720">
      <w:pPr>
        <w:pStyle w:val="Paragraphedeliste"/>
        <w:numPr>
          <w:ilvl w:val="0"/>
          <w:numId w:val="3"/>
        </w:numPr>
        <w:rPr>
          <w:rFonts w:cstheme="minorHAnsi"/>
          <w:sz w:val="26"/>
          <w:szCs w:val="26"/>
        </w:rPr>
      </w:pPr>
      <w:r w:rsidRPr="00A34720">
        <w:rPr>
          <w:rFonts w:cstheme="minorHAnsi"/>
          <w:sz w:val="26"/>
          <w:szCs w:val="26"/>
        </w:rPr>
        <w:t xml:space="preserve">Céder aux « vérités alternatives », aux mensonges, à la violence comme valeur nous amènerait à cette servitude volontaire décrite au XVIème siècle par la Boétie, le grand ami de Montaigne : une soumission librement acceptée par les peuples, née de l’habitude et du renoncement à penser, où la coutume et l’oubli de la liberté jouent un rôle central. </w:t>
      </w:r>
    </w:p>
    <w:p w14:paraId="06FDD82F" w14:textId="77777777" w:rsidR="00742EB8" w:rsidRPr="00A34720" w:rsidRDefault="00742EB8" w:rsidP="00A34720">
      <w:pPr>
        <w:pStyle w:val="Paragraphedeliste"/>
        <w:numPr>
          <w:ilvl w:val="0"/>
          <w:numId w:val="3"/>
        </w:numPr>
        <w:rPr>
          <w:rFonts w:cstheme="minorHAnsi"/>
          <w:sz w:val="26"/>
          <w:szCs w:val="26"/>
        </w:rPr>
      </w:pPr>
      <w:r w:rsidRPr="00A34720">
        <w:rPr>
          <w:rFonts w:cstheme="minorHAnsi"/>
          <w:sz w:val="26"/>
          <w:szCs w:val="26"/>
        </w:rPr>
        <w:t xml:space="preserve">La CFDT est ferme sur ses valeurs : la haine, le mensonge, la manipulation en sont strictement exclues. Gardons-nous de jouer avec les allumettes ! </w:t>
      </w:r>
    </w:p>
    <w:p w14:paraId="499D7CA6" w14:textId="77777777" w:rsidR="00A34720" w:rsidRPr="00A34720" w:rsidRDefault="00A34720" w:rsidP="00742EB8">
      <w:pPr>
        <w:pStyle w:val="Paragraphedeliste"/>
        <w:rPr>
          <w:rFonts w:cstheme="minorHAnsi"/>
        </w:rPr>
      </w:pPr>
    </w:p>
    <w:p w14:paraId="535B3C65" w14:textId="760F7236" w:rsidR="00742EB8" w:rsidRPr="00A34720" w:rsidRDefault="00742EB8" w:rsidP="00742EB8">
      <w:pPr>
        <w:pStyle w:val="Paragraphedeliste"/>
        <w:rPr>
          <w:rFonts w:cstheme="minorHAnsi"/>
          <w:sz w:val="28"/>
          <w:szCs w:val="28"/>
        </w:rPr>
      </w:pPr>
      <w:r w:rsidRPr="00A34720">
        <w:rPr>
          <w:rFonts w:cstheme="minorHAnsi"/>
          <w:b/>
          <w:bCs/>
          <w:sz w:val="28"/>
          <w:szCs w:val="28"/>
        </w:rPr>
        <w:t>Il y a des aventures dont le retour est tragique et cruel</w:t>
      </w:r>
      <w:r w:rsidRPr="00A34720">
        <w:rPr>
          <w:rFonts w:cstheme="minorHAnsi"/>
          <w:sz w:val="28"/>
          <w:szCs w:val="28"/>
        </w:rPr>
        <w:t>.</w:t>
      </w:r>
    </w:p>
    <w:p w14:paraId="721C134E" w14:textId="77777777" w:rsidR="007000CA" w:rsidRDefault="007000CA" w:rsidP="001B4740">
      <w:pPr>
        <w:rPr>
          <w:sz w:val="26"/>
          <w:szCs w:val="26"/>
        </w:rPr>
      </w:pPr>
    </w:p>
    <w:p w14:paraId="05D07FB2" w14:textId="2ABF8397" w:rsidR="00A34720" w:rsidRPr="00A34720" w:rsidRDefault="00A34720" w:rsidP="00A34720">
      <w:pPr>
        <w:tabs>
          <w:tab w:val="left" w:pos="6870"/>
        </w:tabs>
        <w:rPr>
          <w:sz w:val="26"/>
          <w:szCs w:val="26"/>
        </w:rPr>
      </w:pPr>
      <w:r>
        <w:rPr>
          <w:sz w:val="26"/>
          <w:szCs w:val="26"/>
        </w:rPr>
        <w:tab/>
      </w:r>
    </w:p>
    <w:sectPr w:rsidR="00A34720" w:rsidRPr="00A34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D95"/>
    <w:multiLevelType w:val="hybridMultilevel"/>
    <w:tmpl w:val="6E182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7A2569"/>
    <w:multiLevelType w:val="hybridMultilevel"/>
    <w:tmpl w:val="0082B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7C46F9"/>
    <w:multiLevelType w:val="hybridMultilevel"/>
    <w:tmpl w:val="23F27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B9381C"/>
    <w:multiLevelType w:val="hybridMultilevel"/>
    <w:tmpl w:val="58763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1341272">
    <w:abstractNumId w:val="2"/>
  </w:num>
  <w:num w:numId="2" w16cid:durableId="2097510756">
    <w:abstractNumId w:val="3"/>
  </w:num>
  <w:num w:numId="3" w16cid:durableId="1550455973">
    <w:abstractNumId w:val="1"/>
  </w:num>
  <w:num w:numId="4" w16cid:durableId="200258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38"/>
    <w:rsid w:val="001B4740"/>
    <w:rsid w:val="00267898"/>
    <w:rsid w:val="0046235C"/>
    <w:rsid w:val="00492606"/>
    <w:rsid w:val="006A6195"/>
    <w:rsid w:val="007000CA"/>
    <w:rsid w:val="00742EB8"/>
    <w:rsid w:val="00792D74"/>
    <w:rsid w:val="008902F8"/>
    <w:rsid w:val="008D49E0"/>
    <w:rsid w:val="00916601"/>
    <w:rsid w:val="00A06C59"/>
    <w:rsid w:val="00A2696E"/>
    <w:rsid w:val="00A34720"/>
    <w:rsid w:val="00D37938"/>
    <w:rsid w:val="00D975EB"/>
    <w:rsid w:val="00F31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F363"/>
  <w15:chartTrackingRefBased/>
  <w15:docId w15:val="{5CEDC4DC-819F-4A1A-B0F7-F9A7395A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7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37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379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379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379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379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79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79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79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79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379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379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379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379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379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79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79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7938"/>
    <w:rPr>
      <w:rFonts w:eastAsiaTheme="majorEastAsia" w:cstheme="majorBidi"/>
      <w:color w:val="272727" w:themeColor="text1" w:themeTint="D8"/>
    </w:rPr>
  </w:style>
  <w:style w:type="paragraph" w:styleId="Titre">
    <w:name w:val="Title"/>
    <w:basedOn w:val="Normal"/>
    <w:next w:val="Normal"/>
    <w:link w:val="TitreCar"/>
    <w:uiPriority w:val="10"/>
    <w:qFormat/>
    <w:rsid w:val="00D37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79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79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79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7938"/>
    <w:pPr>
      <w:spacing w:before="160"/>
      <w:jc w:val="center"/>
    </w:pPr>
    <w:rPr>
      <w:i/>
      <w:iCs/>
      <w:color w:val="404040" w:themeColor="text1" w:themeTint="BF"/>
    </w:rPr>
  </w:style>
  <w:style w:type="character" w:customStyle="1" w:styleId="CitationCar">
    <w:name w:val="Citation Car"/>
    <w:basedOn w:val="Policepardfaut"/>
    <w:link w:val="Citation"/>
    <w:uiPriority w:val="29"/>
    <w:rsid w:val="00D37938"/>
    <w:rPr>
      <w:i/>
      <w:iCs/>
      <w:color w:val="404040" w:themeColor="text1" w:themeTint="BF"/>
    </w:rPr>
  </w:style>
  <w:style w:type="paragraph" w:styleId="Paragraphedeliste">
    <w:name w:val="List Paragraph"/>
    <w:basedOn w:val="Normal"/>
    <w:uiPriority w:val="34"/>
    <w:qFormat/>
    <w:rsid w:val="00D37938"/>
    <w:pPr>
      <w:ind w:left="720"/>
      <w:contextualSpacing/>
    </w:pPr>
  </w:style>
  <w:style w:type="character" w:styleId="Accentuationintense">
    <w:name w:val="Intense Emphasis"/>
    <w:basedOn w:val="Policepardfaut"/>
    <w:uiPriority w:val="21"/>
    <w:qFormat/>
    <w:rsid w:val="00D37938"/>
    <w:rPr>
      <w:i/>
      <w:iCs/>
      <w:color w:val="2F5496" w:themeColor="accent1" w:themeShade="BF"/>
    </w:rPr>
  </w:style>
  <w:style w:type="paragraph" w:styleId="Citationintense">
    <w:name w:val="Intense Quote"/>
    <w:basedOn w:val="Normal"/>
    <w:next w:val="Normal"/>
    <w:link w:val="CitationintenseCar"/>
    <w:uiPriority w:val="30"/>
    <w:qFormat/>
    <w:rsid w:val="00D37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37938"/>
    <w:rPr>
      <w:i/>
      <w:iCs/>
      <w:color w:val="2F5496" w:themeColor="accent1" w:themeShade="BF"/>
    </w:rPr>
  </w:style>
  <w:style w:type="character" w:styleId="Rfrenceintense">
    <w:name w:val="Intense Reference"/>
    <w:basedOn w:val="Policepardfaut"/>
    <w:uiPriority w:val="32"/>
    <w:qFormat/>
    <w:rsid w:val="00D37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2627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UTR 3109</dc:creator>
  <cp:keywords/>
  <dc:description/>
  <cp:lastModifiedBy>UTR 3109</cp:lastModifiedBy>
  <cp:revision>2</cp:revision>
  <dcterms:created xsi:type="dcterms:W3CDTF">2026-02-09T19:36:00Z</dcterms:created>
  <dcterms:modified xsi:type="dcterms:W3CDTF">2026-02-09T19:36:00Z</dcterms:modified>
</cp:coreProperties>
</file>