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AACDA" w14:textId="77777777" w:rsidR="008506E8" w:rsidRPr="00860F0E" w:rsidRDefault="00217475" w:rsidP="00860F0E">
      <w:pPr>
        <w:pBdr>
          <w:top w:val="single" w:sz="12" w:space="1" w:color="FF0000"/>
          <w:left w:val="single" w:sz="12" w:space="0" w:color="FF0000"/>
          <w:bottom w:val="single" w:sz="12" w:space="1" w:color="FF0000"/>
          <w:right w:val="single" w:sz="12" w:space="4" w:color="FF0000"/>
        </w:pBdr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  <w:r>
        <w:rPr>
          <w:rFonts w:ascii="Arial" w:hAnsi="Arial" w:cs="Arial"/>
          <w:b/>
          <w:bCs/>
          <w:color w:val="FF0000"/>
          <w:sz w:val="72"/>
          <w:szCs w:val="72"/>
        </w:rPr>
        <w:t xml:space="preserve">Mobilisation </w:t>
      </w:r>
    </w:p>
    <w:p w14:paraId="0875F460" w14:textId="77777777" w:rsidR="008506E8" w:rsidRPr="00860F0E" w:rsidRDefault="008506E8" w:rsidP="00860F0E">
      <w:pPr>
        <w:pBdr>
          <w:top w:val="single" w:sz="12" w:space="1" w:color="FF0000"/>
          <w:left w:val="single" w:sz="12" w:space="0" w:color="FF0000"/>
          <w:bottom w:val="single" w:sz="12" w:space="1" w:color="FF0000"/>
          <w:right w:val="single" w:sz="12" w:space="4" w:color="FF0000"/>
        </w:pBdr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  <w:r w:rsidRPr="00860F0E">
        <w:rPr>
          <w:rFonts w:ascii="Arial" w:hAnsi="Arial" w:cs="Arial"/>
          <w:b/>
          <w:bCs/>
          <w:color w:val="FF0000"/>
          <w:sz w:val="72"/>
          <w:szCs w:val="72"/>
        </w:rPr>
        <w:t>Le 1er octobre 2021</w:t>
      </w:r>
    </w:p>
    <w:p w14:paraId="302CBDCC" w14:textId="77777777" w:rsidR="008506E8" w:rsidRPr="00860F0E" w:rsidRDefault="008506E8" w:rsidP="00860F0E">
      <w:pPr>
        <w:pBdr>
          <w:top w:val="single" w:sz="12" w:space="1" w:color="FF0000"/>
          <w:left w:val="single" w:sz="12" w:space="0" w:color="FF0000"/>
          <w:bottom w:val="single" w:sz="12" w:space="1" w:color="FF0000"/>
          <w:right w:val="single" w:sz="12" w:space="4" w:color="FF0000"/>
        </w:pBdr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Arial" w:hAnsi="Arial" w:cs="Arial"/>
          <w:b/>
          <w:bCs/>
          <w:color w:val="FF0000"/>
          <w:sz w:val="52"/>
          <w:szCs w:val="52"/>
        </w:rPr>
      </w:pPr>
      <w:r w:rsidRPr="00860F0E">
        <w:rPr>
          <w:rFonts w:ascii="Arial" w:hAnsi="Arial" w:cs="Arial"/>
          <w:b/>
          <w:bCs/>
          <w:color w:val="FF0000"/>
          <w:sz w:val="52"/>
          <w:szCs w:val="52"/>
        </w:rPr>
        <w:t>Bien vivre sa retraite, une exigence !</w:t>
      </w:r>
    </w:p>
    <w:p w14:paraId="3F7A1A6B" w14:textId="77777777" w:rsidR="008506E8" w:rsidRPr="00016D65" w:rsidRDefault="008506E8" w:rsidP="008506E8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14:paraId="4A545682" w14:textId="77777777" w:rsidR="008506E8" w:rsidRPr="00C92DCE" w:rsidRDefault="008506E8" w:rsidP="00860F0E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2DCE">
        <w:rPr>
          <w:rFonts w:ascii="Times New Roman" w:hAnsi="Times New Roman"/>
          <w:b/>
          <w:bCs/>
          <w:color w:val="000000"/>
          <w:sz w:val="28"/>
          <w:szCs w:val="28"/>
        </w:rPr>
        <w:t>Septembre, octobre, novembre, seront des mois clés pour les retraités. C’est à cette période que</w:t>
      </w:r>
      <w:r w:rsidR="00860F0E" w:rsidRPr="00C92DC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C92DCE">
        <w:rPr>
          <w:rFonts w:ascii="Times New Roman" w:hAnsi="Times New Roman"/>
          <w:b/>
          <w:bCs/>
          <w:color w:val="000000"/>
          <w:sz w:val="28"/>
          <w:szCs w:val="28"/>
        </w:rPr>
        <w:t>se voteront les budgets de la Sécurité sociale et de la loi des finances.</w:t>
      </w:r>
    </w:p>
    <w:p w14:paraId="208798B0" w14:textId="77777777" w:rsidR="008506E8" w:rsidRPr="00C92DCE" w:rsidRDefault="008506E8" w:rsidP="00860F0E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92DCE">
        <w:rPr>
          <w:rFonts w:ascii="Times New Roman" w:hAnsi="Times New Roman"/>
          <w:b/>
          <w:bCs/>
          <w:color w:val="000000"/>
          <w:sz w:val="28"/>
          <w:szCs w:val="28"/>
        </w:rPr>
        <w:t>Alors,</w:t>
      </w:r>
      <w:r w:rsidR="00217475">
        <w:rPr>
          <w:rFonts w:ascii="Times New Roman" w:hAnsi="Times New Roman"/>
          <w:b/>
          <w:bCs/>
          <w:color w:val="000000"/>
          <w:sz w:val="28"/>
          <w:szCs w:val="28"/>
        </w:rPr>
        <w:t xml:space="preserve"> mobilisons-nous pour faire aboutir</w:t>
      </w:r>
      <w:r w:rsidRPr="00C92DCE">
        <w:rPr>
          <w:rFonts w:ascii="Times New Roman" w:hAnsi="Times New Roman"/>
          <w:b/>
          <w:bCs/>
          <w:color w:val="000000"/>
          <w:sz w:val="28"/>
          <w:szCs w:val="28"/>
        </w:rPr>
        <w:t xml:space="preserve"> nos revendications.</w:t>
      </w:r>
    </w:p>
    <w:p w14:paraId="0CF95B27" w14:textId="77777777" w:rsidR="008506E8" w:rsidRPr="00016D65" w:rsidRDefault="008506E8" w:rsidP="008506E8">
      <w:pPr>
        <w:autoSpaceDE w:val="0"/>
        <w:autoSpaceDN w:val="0"/>
        <w:adjustRightInd w:val="0"/>
        <w:spacing w:line="240" w:lineRule="auto"/>
        <w:ind w:left="0"/>
        <w:rPr>
          <w:rFonts w:ascii="Arial" w:hAnsi="Arial" w:cs="Arial"/>
          <w:color w:val="000000"/>
          <w:sz w:val="20"/>
          <w:szCs w:val="20"/>
        </w:rPr>
      </w:pPr>
    </w:p>
    <w:p w14:paraId="552A9805" w14:textId="77777777" w:rsidR="008506E8" w:rsidRPr="00C92DCE" w:rsidRDefault="008506E8" w:rsidP="00C92DCE">
      <w:pPr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C92DCE">
        <w:rPr>
          <w:rFonts w:ascii="Arial" w:hAnsi="Arial" w:cs="Arial"/>
          <w:b/>
          <w:bCs/>
          <w:color w:val="FF0000"/>
          <w:sz w:val="32"/>
          <w:szCs w:val="32"/>
        </w:rPr>
        <w:t>Augmentation des retraites, pensions de base et complémentaires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6"/>
        <w:gridCol w:w="5336"/>
      </w:tblGrid>
      <w:tr w:rsidR="00C92DCE" w:rsidRPr="00016D65" w14:paraId="0687DA9B" w14:textId="77777777" w:rsidTr="00C92DCE">
        <w:tc>
          <w:tcPr>
            <w:tcW w:w="5346" w:type="dxa"/>
            <w:tcBorders>
              <w:right w:val="single" w:sz="12" w:space="0" w:color="auto"/>
            </w:tcBorders>
          </w:tcPr>
          <w:p w14:paraId="2EEE4F41" w14:textId="2DEA02DF" w:rsidR="008506E8" w:rsidRPr="00C92DCE" w:rsidRDefault="008506E8" w:rsidP="000F526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0" w:right="168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92DCE">
              <w:rPr>
                <w:rFonts w:ascii="Times New Roman" w:hAnsi="Times New Roman"/>
                <w:b/>
                <w:bCs/>
                <w:color w:val="000000"/>
              </w:rPr>
              <w:t>0,4 % d’augmentation au 1er janvier 2021 pour les</w:t>
            </w:r>
            <w:r w:rsidR="0076365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92DCE">
              <w:rPr>
                <w:rFonts w:ascii="Times New Roman" w:hAnsi="Times New Roman"/>
                <w:b/>
                <w:bCs/>
                <w:color w:val="000000"/>
              </w:rPr>
              <w:t>retraites de base, 1% pour les complémentaires alors que les prix ont augmenté de 1,6 %, le compte n’y est pas !</w:t>
            </w:r>
          </w:p>
          <w:p w14:paraId="076331BB" w14:textId="6099CF6F" w:rsidR="008506E8" w:rsidRPr="00C92DCE" w:rsidRDefault="008506E8" w:rsidP="000F526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/>
              <w:ind w:left="0" w:right="168"/>
              <w:jc w:val="both"/>
              <w:rPr>
                <w:rFonts w:ascii="Times New Roman" w:hAnsi="Times New Roman"/>
                <w:color w:val="000000"/>
              </w:rPr>
            </w:pPr>
            <w:r w:rsidRPr="00C92DCE">
              <w:rPr>
                <w:rFonts w:ascii="Times New Roman" w:hAnsi="Times New Roman"/>
                <w:color w:val="000000"/>
              </w:rPr>
              <w:t>Ils nous ont spolié 2 ans sur les pensions et retraites de base et 4,5 ans sur les complémentaires par les reports et le gel des revalorisations.</w:t>
            </w:r>
          </w:p>
          <w:p w14:paraId="0377807E" w14:textId="77777777" w:rsidR="008506E8" w:rsidRPr="00C92DCE" w:rsidRDefault="008506E8" w:rsidP="000F526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0" w:right="168"/>
              <w:jc w:val="both"/>
              <w:rPr>
                <w:rFonts w:ascii="Times New Roman" w:hAnsi="Times New Roman"/>
                <w:color w:val="000000"/>
              </w:rPr>
            </w:pPr>
            <w:r w:rsidRPr="00C92DCE">
              <w:rPr>
                <w:rFonts w:ascii="Times New Roman" w:hAnsi="Times New Roman"/>
                <w:color w:val="000000"/>
              </w:rPr>
              <w:t>La valse des étiquettes, mutuelles, alimentation, logement, énergie, transports, … tout augmente, sauf nos pensions.</w:t>
            </w:r>
          </w:p>
          <w:p w14:paraId="1A892609" w14:textId="77777777" w:rsidR="008506E8" w:rsidRPr="00C92DCE" w:rsidRDefault="008506E8" w:rsidP="000F526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/>
              <w:ind w:left="0" w:right="168"/>
              <w:jc w:val="both"/>
              <w:rPr>
                <w:rFonts w:ascii="Times New Roman" w:hAnsi="Times New Roman"/>
                <w:color w:val="BA002C"/>
                <w:sz w:val="20"/>
                <w:szCs w:val="20"/>
              </w:rPr>
            </w:pPr>
            <w:r w:rsidRPr="00C92DCE">
              <w:rPr>
                <w:rFonts w:ascii="Times New Roman" w:hAnsi="Times New Roman"/>
                <w:b/>
                <w:bCs/>
                <w:color w:val="000000"/>
              </w:rPr>
              <w:t>Un rapport gouvernemental préconise d’augmenter la</w:t>
            </w:r>
            <w:r w:rsidR="00BB2990" w:rsidRPr="00C92DC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92DCE">
              <w:rPr>
                <w:rFonts w:ascii="Times New Roman" w:hAnsi="Times New Roman"/>
                <w:b/>
                <w:bCs/>
                <w:color w:val="000000"/>
              </w:rPr>
              <w:t xml:space="preserve">CSG </w:t>
            </w:r>
            <w:r w:rsidRPr="00C92DCE">
              <w:rPr>
                <w:rFonts w:ascii="Times New Roman" w:hAnsi="Times New Roman"/>
                <w:color w:val="000000"/>
              </w:rPr>
              <w:t>en l’alignant sur celle des actifs, de réduire</w:t>
            </w:r>
            <w:r w:rsidR="00BB2990" w:rsidRPr="00C92DCE">
              <w:rPr>
                <w:rFonts w:ascii="Times New Roman" w:hAnsi="Times New Roman"/>
                <w:color w:val="000000"/>
              </w:rPr>
              <w:t xml:space="preserve"> </w:t>
            </w:r>
            <w:r w:rsidRPr="00C92DCE">
              <w:rPr>
                <w:rFonts w:ascii="Times New Roman" w:hAnsi="Times New Roman"/>
                <w:color w:val="000000"/>
              </w:rPr>
              <w:t>l’abattement de 10 % pour le calcul de l’impôt sur le revenu</w:t>
            </w:r>
            <w:r w:rsidR="00BB2990" w:rsidRPr="00C92DCE">
              <w:rPr>
                <w:rFonts w:ascii="Times New Roman" w:hAnsi="Times New Roman"/>
                <w:color w:val="000000"/>
              </w:rPr>
              <w:t xml:space="preserve"> </w:t>
            </w:r>
            <w:r w:rsidRPr="00C92DCE">
              <w:rPr>
                <w:rFonts w:ascii="Times New Roman" w:hAnsi="Times New Roman"/>
                <w:color w:val="000000"/>
              </w:rPr>
              <w:t>des retraités et de continuer à sous-revaloriser et/ou geler</w:t>
            </w:r>
            <w:r w:rsidR="00BB2990" w:rsidRPr="00C92DCE">
              <w:rPr>
                <w:rFonts w:ascii="Times New Roman" w:hAnsi="Times New Roman"/>
                <w:color w:val="000000"/>
              </w:rPr>
              <w:t xml:space="preserve"> </w:t>
            </w:r>
            <w:r w:rsidRPr="00C92DCE">
              <w:rPr>
                <w:rFonts w:ascii="Times New Roman" w:hAnsi="Times New Roman"/>
                <w:color w:val="000000"/>
              </w:rPr>
              <w:t>les pensions et retraites.</w:t>
            </w:r>
          </w:p>
        </w:tc>
        <w:tc>
          <w:tcPr>
            <w:tcW w:w="5336" w:type="dxa"/>
            <w:tcBorders>
              <w:left w:val="single" w:sz="12" w:space="0" w:color="auto"/>
            </w:tcBorders>
          </w:tcPr>
          <w:p w14:paraId="1A84ECF5" w14:textId="77777777" w:rsidR="008506E8" w:rsidRPr="00C92DCE" w:rsidRDefault="008506E8" w:rsidP="000F526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183"/>
              <w:jc w:val="both"/>
              <w:rPr>
                <w:rFonts w:ascii="Times New Roman" w:hAnsi="Times New Roman"/>
                <w:color w:val="000000"/>
              </w:rPr>
            </w:pPr>
            <w:r w:rsidRPr="00C92DCE">
              <w:rPr>
                <w:rFonts w:ascii="Times New Roman" w:hAnsi="Times New Roman"/>
                <w:b/>
                <w:bCs/>
                <w:color w:val="000000"/>
              </w:rPr>
              <w:t xml:space="preserve">Augmenter les retraites et pensions </w:t>
            </w:r>
            <w:r w:rsidRPr="00C92DCE">
              <w:rPr>
                <w:rFonts w:ascii="Times New Roman" w:hAnsi="Times New Roman"/>
                <w:color w:val="000000"/>
              </w:rPr>
              <w:t>en les indexant sur l’évolution du salaire moyen. Pas de retraite inférieure au Smic. Pensions de réversion attribuées sans</w:t>
            </w:r>
            <w:r w:rsidR="00BB2990" w:rsidRPr="00C92DCE">
              <w:rPr>
                <w:rFonts w:ascii="Times New Roman" w:hAnsi="Times New Roman"/>
                <w:color w:val="000000"/>
              </w:rPr>
              <w:t xml:space="preserve"> </w:t>
            </w:r>
            <w:r w:rsidRPr="00C92DCE">
              <w:rPr>
                <w:rFonts w:ascii="Times New Roman" w:hAnsi="Times New Roman"/>
                <w:color w:val="000000"/>
              </w:rPr>
              <w:t>conditions d</w:t>
            </w:r>
            <w:r w:rsidR="00217475">
              <w:rPr>
                <w:rFonts w:ascii="Times New Roman" w:hAnsi="Times New Roman"/>
                <w:color w:val="000000"/>
              </w:rPr>
              <w:t>e ressources ni d'âge, amélioré</w:t>
            </w:r>
            <w:r w:rsidRPr="00C92DCE">
              <w:rPr>
                <w:rFonts w:ascii="Times New Roman" w:hAnsi="Times New Roman"/>
                <w:color w:val="000000"/>
              </w:rPr>
              <w:t>es afin de garantir le niveau de vie du conjoint·e survivant et son extension aux couples pacsés, concubin·es.</w:t>
            </w:r>
          </w:p>
          <w:p w14:paraId="788323A1" w14:textId="77777777" w:rsidR="008506E8" w:rsidRPr="00C92DCE" w:rsidRDefault="008506E8" w:rsidP="000F526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/>
              <w:ind w:left="183"/>
              <w:jc w:val="both"/>
              <w:rPr>
                <w:rFonts w:ascii="Times New Roman" w:hAnsi="Times New Roman"/>
                <w:color w:val="000000"/>
              </w:rPr>
            </w:pPr>
            <w:r w:rsidRPr="00C92DCE">
              <w:rPr>
                <w:rFonts w:ascii="Times New Roman" w:hAnsi="Times New Roman"/>
                <w:b/>
                <w:bCs/>
                <w:color w:val="000000"/>
              </w:rPr>
              <w:t>C’est un investissement juste socialement</w:t>
            </w:r>
            <w:r w:rsidR="00BB2990" w:rsidRPr="00C92DC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92DCE">
              <w:rPr>
                <w:rFonts w:ascii="Times New Roman" w:hAnsi="Times New Roman"/>
                <w:b/>
                <w:bCs/>
                <w:color w:val="000000"/>
              </w:rPr>
              <w:t xml:space="preserve">et nécessaire pour l’économie. </w:t>
            </w:r>
            <w:r w:rsidRPr="00C92DCE">
              <w:rPr>
                <w:rFonts w:ascii="Times New Roman" w:hAnsi="Times New Roman"/>
                <w:color w:val="000000"/>
              </w:rPr>
              <w:t>C’est d’utilité publique pour favoriser la croissance de l’économie dont le p</w:t>
            </w:r>
            <w:r w:rsidR="00217475">
              <w:rPr>
                <w:rFonts w:ascii="Times New Roman" w:hAnsi="Times New Roman"/>
                <w:color w:val="000000"/>
              </w:rPr>
              <w:t>ays</w:t>
            </w:r>
            <w:r w:rsidRPr="00C92DCE">
              <w:rPr>
                <w:rFonts w:ascii="Times New Roman" w:hAnsi="Times New Roman"/>
                <w:color w:val="000000"/>
              </w:rPr>
              <w:t xml:space="preserve"> a tant besoin. </w:t>
            </w:r>
          </w:p>
          <w:p w14:paraId="59FAD345" w14:textId="77777777" w:rsidR="008506E8" w:rsidRPr="00C92DCE" w:rsidRDefault="008506E8" w:rsidP="000F526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/>
              <w:ind w:left="183"/>
              <w:jc w:val="both"/>
              <w:rPr>
                <w:rFonts w:ascii="Times New Roman" w:hAnsi="Times New Roman"/>
                <w:color w:val="BA002C"/>
                <w:sz w:val="20"/>
                <w:szCs w:val="20"/>
              </w:rPr>
            </w:pPr>
            <w:r w:rsidRPr="00C92DCE">
              <w:rPr>
                <w:rFonts w:ascii="Times New Roman" w:hAnsi="Times New Roman"/>
                <w:b/>
                <w:bCs/>
                <w:color w:val="000000"/>
              </w:rPr>
              <w:t>Redonner du pouvoir d’achat aux</w:t>
            </w:r>
            <w:r w:rsidR="00BB2990" w:rsidRPr="00C92DC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92DCE">
              <w:rPr>
                <w:rFonts w:ascii="Times New Roman" w:hAnsi="Times New Roman"/>
                <w:b/>
                <w:bCs/>
                <w:color w:val="000000"/>
              </w:rPr>
              <w:t>retraités permet le bien vieillir.</w:t>
            </w:r>
          </w:p>
        </w:tc>
      </w:tr>
    </w:tbl>
    <w:p w14:paraId="24DA2C4D" w14:textId="77777777" w:rsidR="008506E8" w:rsidRPr="00016D65" w:rsidRDefault="008506E8" w:rsidP="008506E8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0E23E18" w14:textId="77777777" w:rsidR="008506E8" w:rsidRPr="00C92DCE" w:rsidRDefault="008506E8" w:rsidP="00C92DCE">
      <w:pPr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C92DCE">
        <w:rPr>
          <w:rFonts w:ascii="Arial" w:hAnsi="Arial" w:cs="Arial"/>
          <w:b/>
          <w:bCs/>
          <w:color w:val="FF0000"/>
          <w:sz w:val="32"/>
          <w:szCs w:val="32"/>
        </w:rPr>
        <w:t>Sécurité sociale – santé – autonomie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39"/>
        <w:gridCol w:w="5343"/>
      </w:tblGrid>
      <w:tr w:rsidR="00C92DCE" w:rsidRPr="00016D65" w14:paraId="7E6A3FBF" w14:textId="77777777" w:rsidTr="00C92DCE">
        <w:tc>
          <w:tcPr>
            <w:tcW w:w="5499" w:type="dxa"/>
            <w:tcBorders>
              <w:right w:val="single" w:sz="12" w:space="0" w:color="auto"/>
            </w:tcBorders>
          </w:tcPr>
          <w:p w14:paraId="6274FA6E" w14:textId="77777777" w:rsidR="004C11EC" w:rsidRDefault="008506E8" w:rsidP="000F526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0" w:right="161"/>
              <w:jc w:val="both"/>
              <w:rPr>
                <w:rFonts w:ascii="Times New Roman" w:hAnsi="Times New Roman"/>
                <w:color w:val="000000"/>
              </w:rPr>
            </w:pPr>
            <w:r w:rsidRPr="00C92DCE">
              <w:rPr>
                <w:rFonts w:ascii="Times New Roman" w:hAnsi="Times New Roman"/>
                <w:b/>
                <w:bCs/>
                <w:color w:val="000000"/>
              </w:rPr>
              <w:t>La pandémie a démontré que la protection</w:t>
            </w:r>
            <w:r w:rsidR="00C92DCE" w:rsidRPr="00C92DC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92DCE">
              <w:rPr>
                <w:rFonts w:ascii="Times New Roman" w:hAnsi="Times New Roman"/>
                <w:b/>
                <w:bCs/>
                <w:color w:val="000000"/>
              </w:rPr>
              <w:t>sociale est un bien essentiel</w:t>
            </w:r>
            <w:r w:rsidR="00C92DCE" w:rsidRPr="00C92DCE">
              <w:rPr>
                <w:rFonts w:ascii="Times New Roman" w:hAnsi="Times New Roman"/>
                <w:color w:val="000000"/>
              </w:rPr>
              <w:t>.</w:t>
            </w:r>
            <w:r w:rsidR="004C11EC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CB83463" w14:textId="77777777" w:rsidR="008506E8" w:rsidRPr="00C92DCE" w:rsidRDefault="008506E8" w:rsidP="000F526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0" w:right="161"/>
              <w:jc w:val="both"/>
              <w:rPr>
                <w:rFonts w:ascii="Times New Roman" w:hAnsi="Times New Roman"/>
                <w:color w:val="000000"/>
              </w:rPr>
            </w:pPr>
            <w:r w:rsidRPr="00C92DCE">
              <w:rPr>
                <w:rFonts w:ascii="Times New Roman" w:hAnsi="Times New Roman"/>
                <w:color w:val="000000"/>
              </w:rPr>
              <w:t>Et pourtant cette dernière n’a jamais été autant attaquée que depuis ces dernières années.</w:t>
            </w:r>
          </w:p>
          <w:p w14:paraId="01BE9F6C" w14:textId="77777777" w:rsidR="008506E8" w:rsidRPr="00C92DCE" w:rsidRDefault="008506E8" w:rsidP="000F526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/>
              <w:ind w:left="0" w:right="161"/>
              <w:jc w:val="both"/>
              <w:rPr>
                <w:rFonts w:ascii="Times New Roman" w:hAnsi="Times New Roman"/>
                <w:color w:val="BA002C"/>
              </w:rPr>
            </w:pPr>
            <w:r w:rsidRPr="00C92DCE">
              <w:rPr>
                <w:rFonts w:ascii="Times New Roman" w:hAnsi="Times New Roman"/>
                <w:b/>
                <w:bCs/>
                <w:color w:val="000000"/>
              </w:rPr>
              <w:t>Le gouvernement d’Emmanuel Macron et ses</w:t>
            </w:r>
            <w:r w:rsidR="00BB2990" w:rsidRPr="00C92DC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92DCE">
              <w:rPr>
                <w:rFonts w:ascii="Times New Roman" w:hAnsi="Times New Roman"/>
                <w:b/>
                <w:bCs/>
                <w:color w:val="000000"/>
              </w:rPr>
              <w:t>prédécesseurs ont une lourde responsabilité dans</w:t>
            </w:r>
            <w:r w:rsidR="00BB2990" w:rsidRPr="00C92DC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92DCE">
              <w:rPr>
                <w:rFonts w:ascii="Times New Roman" w:hAnsi="Times New Roman"/>
                <w:b/>
                <w:bCs/>
                <w:color w:val="000000"/>
              </w:rPr>
              <w:t>la gestion désastreuse de la crise sanitaire</w:t>
            </w:r>
            <w:r w:rsidRPr="00C92DCE">
              <w:rPr>
                <w:rFonts w:ascii="Times New Roman" w:hAnsi="Times New Roman"/>
                <w:color w:val="000000"/>
              </w:rPr>
              <w:t>. Les suppressions de 115 000 lits en 25 ans dans les hôpitaux et de 100 000 postes de soignants en 8 ans pèsent lourdement dans la situation catastrophique que nous connaissons. Le gouvernement sanctionne, réduit les libertés, culpabilise et infantilise les citoyens que nous sommes.</w:t>
            </w:r>
          </w:p>
        </w:tc>
        <w:tc>
          <w:tcPr>
            <w:tcW w:w="5499" w:type="dxa"/>
            <w:tcBorders>
              <w:left w:val="single" w:sz="12" w:space="0" w:color="auto"/>
            </w:tcBorders>
          </w:tcPr>
          <w:p w14:paraId="08F6A377" w14:textId="77777777" w:rsidR="008506E8" w:rsidRPr="00C92DCE" w:rsidRDefault="008506E8" w:rsidP="000F526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186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92DCE">
              <w:rPr>
                <w:rFonts w:ascii="Times New Roman" w:hAnsi="Times New Roman"/>
                <w:b/>
                <w:bCs/>
                <w:color w:val="000000"/>
              </w:rPr>
              <w:t>De plus en plus de retraités ne peuvent plus se</w:t>
            </w:r>
            <w:r w:rsidR="00BB2990" w:rsidRPr="00C92DCE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C92DCE">
              <w:rPr>
                <w:rFonts w:ascii="Times New Roman" w:hAnsi="Times New Roman"/>
                <w:b/>
                <w:bCs/>
                <w:color w:val="000000"/>
              </w:rPr>
              <w:t>soigner faute de moyens financiers suffisants.</w:t>
            </w:r>
          </w:p>
          <w:p w14:paraId="78E9CCAB" w14:textId="77777777" w:rsidR="00C92DCE" w:rsidRPr="00C92DCE" w:rsidRDefault="008506E8" w:rsidP="000F526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186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92DCE">
              <w:rPr>
                <w:rFonts w:ascii="Times New Roman" w:hAnsi="Times New Roman"/>
                <w:b/>
                <w:bCs/>
                <w:color w:val="000000"/>
              </w:rPr>
              <w:t>Ça suffit !</w:t>
            </w:r>
          </w:p>
          <w:p w14:paraId="3C5DB50C" w14:textId="77777777" w:rsidR="008506E8" w:rsidRPr="00C92DCE" w:rsidRDefault="008506E8" w:rsidP="000F526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/>
              <w:ind w:left="186"/>
              <w:jc w:val="both"/>
              <w:rPr>
                <w:rFonts w:ascii="Times New Roman" w:hAnsi="Times New Roman"/>
                <w:color w:val="000000"/>
              </w:rPr>
            </w:pPr>
            <w:r w:rsidRPr="00C92DCE">
              <w:rPr>
                <w:rFonts w:ascii="Times New Roman" w:hAnsi="Times New Roman"/>
                <w:color w:val="000000"/>
              </w:rPr>
              <w:t>Nous exigeons des centres de santé publics dans tous les territoires pour garantir un accès aux soins solidaire pour tous.</w:t>
            </w:r>
          </w:p>
          <w:p w14:paraId="71F75E81" w14:textId="77777777" w:rsidR="008506E8" w:rsidRPr="00C92DCE" w:rsidRDefault="008506E8" w:rsidP="000F526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/>
              <w:ind w:left="186"/>
              <w:jc w:val="both"/>
              <w:rPr>
                <w:rFonts w:ascii="Times New Roman" w:hAnsi="Times New Roman"/>
                <w:color w:val="000000"/>
              </w:rPr>
            </w:pPr>
            <w:r w:rsidRPr="00C92DCE">
              <w:rPr>
                <w:rFonts w:ascii="Times New Roman" w:hAnsi="Times New Roman"/>
                <w:color w:val="000000"/>
              </w:rPr>
              <w:t>100 000 postes supplémentaires sont nécessaires</w:t>
            </w:r>
            <w:r w:rsidR="00C92DCE" w:rsidRPr="00C92DCE">
              <w:rPr>
                <w:rFonts w:ascii="Times New Roman" w:hAnsi="Times New Roman"/>
                <w:color w:val="000000"/>
              </w:rPr>
              <w:t xml:space="preserve"> </w:t>
            </w:r>
            <w:r w:rsidRPr="00C92DCE">
              <w:rPr>
                <w:rFonts w:ascii="Times New Roman" w:hAnsi="Times New Roman"/>
                <w:color w:val="000000"/>
              </w:rPr>
              <w:t>dans notre système hospitalier.</w:t>
            </w:r>
          </w:p>
          <w:p w14:paraId="39F17034" w14:textId="5C792E41" w:rsidR="008506E8" w:rsidRPr="00C92DCE" w:rsidRDefault="008506E8" w:rsidP="000F526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/>
              <w:ind w:left="186"/>
              <w:jc w:val="both"/>
              <w:rPr>
                <w:rFonts w:ascii="Times New Roman" w:hAnsi="Times New Roman"/>
                <w:color w:val="BA002C"/>
              </w:rPr>
            </w:pPr>
            <w:r w:rsidRPr="00C92DCE">
              <w:rPr>
                <w:rFonts w:ascii="Times New Roman" w:hAnsi="Times New Roman"/>
                <w:color w:val="000000"/>
              </w:rPr>
              <w:t>Nous réaff</w:t>
            </w:r>
            <w:r w:rsidR="00217475">
              <w:rPr>
                <w:rFonts w:ascii="Times New Roman" w:hAnsi="Times New Roman"/>
                <w:color w:val="000000"/>
              </w:rPr>
              <w:t>irmons la nécessité de lev</w:t>
            </w:r>
            <w:r w:rsidR="00763653">
              <w:rPr>
                <w:rFonts w:ascii="Times New Roman" w:hAnsi="Times New Roman"/>
                <w:color w:val="000000"/>
              </w:rPr>
              <w:t>er</w:t>
            </w:r>
            <w:r w:rsidR="00217475">
              <w:rPr>
                <w:rFonts w:ascii="Times New Roman" w:hAnsi="Times New Roman"/>
                <w:color w:val="000000"/>
              </w:rPr>
              <w:t xml:space="preserve"> </w:t>
            </w:r>
            <w:r w:rsidRPr="00C92DCE">
              <w:rPr>
                <w:rFonts w:ascii="Times New Roman" w:hAnsi="Times New Roman"/>
                <w:color w:val="000000"/>
              </w:rPr>
              <w:t>la propriété privée sur les brevets qui empêche la diffusion des vaccins partout dans le monde tout en étant source de profits inadmissibles.</w:t>
            </w:r>
          </w:p>
        </w:tc>
      </w:tr>
    </w:tbl>
    <w:p w14:paraId="4D1C7FD1" w14:textId="77777777" w:rsidR="008506E8" w:rsidRDefault="008506E8" w:rsidP="008506E8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9605176" w14:textId="77777777" w:rsidR="008506E8" w:rsidRPr="004C11EC" w:rsidRDefault="004C11EC" w:rsidP="008506E8">
      <w:pPr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</w:rPr>
        <w:br w:type="page"/>
      </w:r>
      <w:r w:rsidR="008506E8" w:rsidRPr="004C11EC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La santé n’a pas de prix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33"/>
        <w:gridCol w:w="5349"/>
      </w:tblGrid>
      <w:tr w:rsidR="008506E8" w:rsidRPr="00692789" w14:paraId="50F63917" w14:textId="77777777" w:rsidTr="00692789">
        <w:tc>
          <w:tcPr>
            <w:tcW w:w="5499" w:type="dxa"/>
            <w:tcBorders>
              <w:right w:val="single" w:sz="12" w:space="0" w:color="auto"/>
            </w:tcBorders>
          </w:tcPr>
          <w:p w14:paraId="5F220238" w14:textId="77777777" w:rsidR="008506E8" w:rsidRPr="00692789" w:rsidRDefault="008506E8" w:rsidP="000F526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/>
              <w:ind w:left="0" w:right="156"/>
              <w:jc w:val="both"/>
              <w:rPr>
                <w:rFonts w:ascii="Times New Roman" w:hAnsi="Times New Roman"/>
                <w:color w:val="000000"/>
              </w:rPr>
            </w:pPr>
            <w:r w:rsidRPr="00692789">
              <w:rPr>
                <w:rFonts w:ascii="Times New Roman" w:hAnsi="Times New Roman"/>
                <w:b/>
                <w:bCs/>
                <w:color w:val="000000"/>
              </w:rPr>
              <w:t xml:space="preserve">Les personnes âgées représentent plus de 75 % des décès </w:t>
            </w:r>
            <w:r w:rsidRPr="00692789">
              <w:rPr>
                <w:rFonts w:ascii="Times New Roman" w:hAnsi="Times New Roman"/>
                <w:color w:val="000000"/>
              </w:rPr>
              <w:t>dus à la Covid-19, confinées au domicile ou en EHPAD, malgré le dévouement des soignants.</w:t>
            </w:r>
          </w:p>
          <w:p w14:paraId="36BBFCD4" w14:textId="77777777" w:rsidR="008506E8" w:rsidRPr="00692789" w:rsidRDefault="008506E8" w:rsidP="000F526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/>
              <w:ind w:left="0" w:right="156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692789">
              <w:rPr>
                <w:rFonts w:ascii="Times New Roman" w:hAnsi="Times New Roman"/>
                <w:b/>
                <w:bCs/>
                <w:color w:val="000000"/>
              </w:rPr>
              <w:t>Nous avons besoin d’une nouvelle loi prenant en</w:t>
            </w:r>
            <w:r w:rsidR="0069278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692789">
              <w:rPr>
                <w:rFonts w:ascii="Times New Roman" w:hAnsi="Times New Roman"/>
                <w:b/>
                <w:bCs/>
                <w:color w:val="000000"/>
              </w:rPr>
              <w:t xml:space="preserve">compte le droit à l’autonomie </w:t>
            </w:r>
            <w:r w:rsidRPr="00692789">
              <w:rPr>
                <w:rFonts w:ascii="Times New Roman" w:hAnsi="Times New Roman"/>
                <w:color w:val="000000"/>
              </w:rPr>
              <w:t>dans le cadre de la Sécurité sociale, avec un grand service public de la prise en charge de l’autonomie, que ce soit au niveau de l’aide à domicile ou des EHPAD, ainsi que</w:t>
            </w:r>
          </w:p>
        </w:tc>
        <w:tc>
          <w:tcPr>
            <w:tcW w:w="5499" w:type="dxa"/>
            <w:tcBorders>
              <w:left w:val="single" w:sz="12" w:space="0" w:color="auto"/>
            </w:tcBorders>
          </w:tcPr>
          <w:p w14:paraId="64DF2CBA" w14:textId="77777777" w:rsidR="008506E8" w:rsidRPr="00692789" w:rsidRDefault="008506E8" w:rsidP="000F526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192"/>
              <w:jc w:val="both"/>
              <w:rPr>
                <w:rFonts w:ascii="Times New Roman" w:hAnsi="Times New Roman"/>
                <w:color w:val="000000"/>
              </w:rPr>
            </w:pPr>
            <w:r w:rsidRPr="00692789">
              <w:rPr>
                <w:rFonts w:ascii="Times New Roman" w:hAnsi="Times New Roman"/>
                <w:color w:val="000000"/>
              </w:rPr>
              <w:t>200 000 embauches dans les EHPAD et 100 000 dans le secteur de l’aide à domicile pour garantir des</w:t>
            </w:r>
            <w:r w:rsidR="00692789">
              <w:rPr>
                <w:rFonts w:ascii="Times New Roman" w:hAnsi="Times New Roman"/>
                <w:color w:val="000000"/>
              </w:rPr>
              <w:t xml:space="preserve"> </w:t>
            </w:r>
            <w:r w:rsidRPr="00692789">
              <w:rPr>
                <w:rFonts w:ascii="Times New Roman" w:hAnsi="Times New Roman"/>
                <w:color w:val="000000"/>
              </w:rPr>
              <w:t>soins de qualité.</w:t>
            </w:r>
          </w:p>
          <w:p w14:paraId="60C3C1FF" w14:textId="77777777" w:rsidR="008506E8" w:rsidRPr="00692789" w:rsidRDefault="008506E8" w:rsidP="009D67DB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/>
              <w:ind w:left="192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692789">
              <w:rPr>
                <w:rFonts w:ascii="Times New Roman" w:hAnsi="Times New Roman"/>
                <w:b/>
                <w:bCs/>
                <w:color w:val="000000"/>
              </w:rPr>
              <w:t>Des moyens supplémentaires pour notre Sécurité</w:t>
            </w:r>
            <w:r w:rsidR="00692789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692789">
              <w:rPr>
                <w:rFonts w:ascii="Times New Roman" w:hAnsi="Times New Roman"/>
                <w:b/>
                <w:bCs/>
                <w:color w:val="000000"/>
              </w:rPr>
              <w:t xml:space="preserve">sociale sont indispensables </w:t>
            </w:r>
            <w:r w:rsidRPr="00692789">
              <w:rPr>
                <w:rFonts w:ascii="Times New Roman" w:hAnsi="Times New Roman"/>
                <w:color w:val="000000"/>
              </w:rPr>
              <w:t xml:space="preserve">pour financer les besoins de la population à partir des cotisations sociales, ce qui suppose des emplois, des salaires et des pensions corrects. </w:t>
            </w:r>
          </w:p>
        </w:tc>
      </w:tr>
    </w:tbl>
    <w:p w14:paraId="10F8FEF3" w14:textId="77777777" w:rsidR="008506E8" w:rsidRPr="00016D65" w:rsidRDefault="008506E8" w:rsidP="008506E8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B5970B7" w14:textId="77777777" w:rsidR="008506E8" w:rsidRPr="00FF72B0" w:rsidRDefault="008506E8" w:rsidP="00FF72B0">
      <w:pPr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FF72B0">
        <w:rPr>
          <w:rFonts w:ascii="Arial" w:hAnsi="Arial" w:cs="Arial"/>
          <w:b/>
          <w:bCs/>
          <w:color w:val="FF0000"/>
          <w:sz w:val="32"/>
          <w:szCs w:val="32"/>
        </w:rPr>
        <w:t>Services publics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4"/>
        <w:gridCol w:w="5338"/>
      </w:tblGrid>
      <w:tr w:rsidR="008506E8" w:rsidRPr="00016D65" w14:paraId="6B7E114B" w14:textId="77777777" w:rsidTr="00FF72B0">
        <w:tc>
          <w:tcPr>
            <w:tcW w:w="5499" w:type="dxa"/>
            <w:tcBorders>
              <w:right w:val="single" w:sz="12" w:space="0" w:color="auto"/>
            </w:tcBorders>
          </w:tcPr>
          <w:p w14:paraId="7145FE69" w14:textId="77777777" w:rsidR="008506E8" w:rsidRPr="00FF72B0" w:rsidRDefault="008506E8" w:rsidP="000F526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0" w:right="166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FF72B0">
              <w:rPr>
                <w:rFonts w:ascii="Times New Roman" w:hAnsi="Times New Roman"/>
                <w:b/>
                <w:bCs/>
                <w:color w:val="000000"/>
              </w:rPr>
              <w:t>Les services publics et leurs personnels ont joué un rôle irremplaçable dans la lutte contre la pandémie.</w:t>
            </w:r>
          </w:p>
          <w:p w14:paraId="253DEB7F" w14:textId="331712F3" w:rsidR="008506E8" w:rsidRPr="00FF72B0" w:rsidRDefault="008506E8" w:rsidP="000F526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/>
              <w:ind w:left="0" w:right="166"/>
              <w:jc w:val="both"/>
              <w:rPr>
                <w:rFonts w:ascii="Times New Roman" w:hAnsi="Times New Roman"/>
                <w:color w:val="BA002C"/>
              </w:rPr>
            </w:pPr>
            <w:r w:rsidRPr="00FF72B0">
              <w:rPr>
                <w:rFonts w:ascii="Times New Roman" w:hAnsi="Times New Roman"/>
                <w:color w:val="000000"/>
              </w:rPr>
              <w:t>L’amélioration de la qualité de leurs missions et de leur déploiement sur l’ensemble du territoire doit donc devenir une priorité de l’État et des collectivités territoriales.</w:t>
            </w:r>
          </w:p>
        </w:tc>
        <w:tc>
          <w:tcPr>
            <w:tcW w:w="5499" w:type="dxa"/>
            <w:tcBorders>
              <w:left w:val="single" w:sz="12" w:space="0" w:color="auto"/>
            </w:tcBorders>
          </w:tcPr>
          <w:p w14:paraId="53802999" w14:textId="77777777" w:rsidR="008506E8" w:rsidRPr="00FF72B0" w:rsidRDefault="008506E8" w:rsidP="000F526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182"/>
              <w:jc w:val="both"/>
              <w:rPr>
                <w:rFonts w:ascii="Times New Roman" w:hAnsi="Times New Roman"/>
                <w:color w:val="000000"/>
              </w:rPr>
            </w:pPr>
            <w:r w:rsidRPr="00FF72B0">
              <w:rPr>
                <w:rFonts w:ascii="Times New Roman" w:hAnsi="Times New Roman"/>
                <w:b/>
                <w:bCs/>
                <w:color w:val="000000"/>
              </w:rPr>
              <w:t>Ce sont bien des services de proximité</w:t>
            </w:r>
            <w:r w:rsidRPr="00FF72B0">
              <w:rPr>
                <w:rFonts w:ascii="Times New Roman" w:hAnsi="Times New Roman"/>
                <w:color w:val="000000"/>
              </w:rPr>
              <w:t>, avec du personnel en nombre et formé dont nous avons besoin, garants d’une égalité de traitement sur tout le territoire, garants d’un accès pour tous partout.</w:t>
            </w:r>
          </w:p>
          <w:p w14:paraId="76C8B0D7" w14:textId="77777777" w:rsidR="008506E8" w:rsidRPr="00FF72B0" w:rsidRDefault="008506E8" w:rsidP="000F526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/>
              <w:ind w:left="182"/>
              <w:jc w:val="both"/>
              <w:rPr>
                <w:rFonts w:ascii="Times New Roman" w:hAnsi="Times New Roman"/>
                <w:color w:val="000000"/>
              </w:rPr>
            </w:pPr>
            <w:r w:rsidRPr="00FF72B0">
              <w:rPr>
                <w:rFonts w:ascii="Times New Roman" w:hAnsi="Times New Roman"/>
                <w:color w:val="000000"/>
              </w:rPr>
              <w:t>Le service au public rendu par les commerçants n’est pas du service public.</w:t>
            </w:r>
          </w:p>
          <w:p w14:paraId="0C351548" w14:textId="77777777" w:rsidR="008506E8" w:rsidRPr="00FF72B0" w:rsidRDefault="008506E8" w:rsidP="000F5265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182"/>
              <w:jc w:val="both"/>
              <w:rPr>
                <w:rFonts w:ascii="Times New Roman" w:hAnsi="Times New Roman"/>
                <w:color w:val="BA002C"/>
              </w:rPr>
            </w:pPr>
            <w:r w:rsidRPr="00FF72B0">
              <w:rPr>
                <w:rFonts w:ascii="Times New Roman" w:hAnsi="Times New Roman"/>
                <w:color w:val="000000"/>
              </w:rPr>
              <w:t>Le seul accueil par internet n’est pas du service public.</w:t>
            </w:r>
          </w:p>
        </w:tc>
      </w:tr>
    </w:tbl>
    <w:p w14:paraId="5E6A558B" w14:textId="77777777" w:rsidR="00FF72B0" w:rsidRDefault="00FF72B0" w:rsidP="008506E8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30609388" w14:textId="77777777" w:rsidR="009D67DB" w:rsidRPr="00FF72B0" w:rsidRDefault="009D67DB" w:rsidP="008506E8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0408A0AD" w14:textId="77777777" w:rsidR="008506E8" w:rsidRDefault="008506E8" w:rsidP="008506E8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FF72B0">
        <w:rPr>
          <w:rFonts w:ascii="Arial" w:hAnsi="Arial" w:cs="Arial"/>
          <w:b/>
          <w:bCs/>
          <w:color w:val="FF0000"/>
          <w:sz w:val="32"/>
          <w:szCs w:val="32"/>
        </w:rPr>
        <w:t>Oui nous voulons une retraite en bonne santé, une pension de haut</w:t>
      </w:r>
      <w:r w:rsidR="00FF72B0" w:rsidRPr="00FF72B0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Pr="00FF72B0">
        <w:rPr>
          <w:rFonts w:ascii="Arial" w:hAnsi="Arial" w:cs="Arial"/>
          <w:b/>
          <w:bCs/>
          <w:color w:val="FF0000"/>
          <w:sz w:val="32"/>
          <w:szCs w:val="32"/>
        </w:rPr>
        <w:t>niveau, aujourd’hui et pour les générations futures.</w:t>
      </w:r>
    </w:p>
    <w:p w14:paraId="5A08BF46" w14:textId="77777777" w:rsidR="009D67DB" w:rsidRPr="00FF72B0" w:rsidRDefault="009D67DB" w:rsidP="008506E8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1C9EC3A3" w14:textId="77777777" w:rsidR="00966D57" w:rsidRPr="000F5265" w:rsidRDefault="00966D57" w:rsidP="00966D57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1C40A93" w14:textId="77777777" w:rsidR="008506E8" w:rsidRPr="00574BEC" w:rsidRDefault="008506E8" w:rsidP="008506E8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  <w:r w:rsidRPr="00574BEC">
        <w:rPr>
          <w:rFonts w:ascii="Arial" w:hAnsi="Arial" w:cs="Arial"/>
          <w:b/>
          <w:bCs/>
          <w:color w:val="FF0000"/>
          <w:sz w:val="44"/>
          <w:szCs w:val="44"/>
        </w:rPr>
        <w:t>Ma retraite je l’ai gagnée,</w:t>
      </w:r>
    </w:p>
    <w:p w14:paraId="28D67262" w14:textId="77777777" w:rsidR="008506E8" w:rsidRPr="00574BEC" w:rsidRDefault="008506E8" w:rsidP="008506E8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  <w:r w:rsidRPr="00574BEC">
        <w:rPr>
          <w:rFonts w:ascii="Arial" w:hAnsi="Arial" w:cs="Arial"/>
          <w:b/>
          <w:bCs/>
          <w:color w:val="FF0000"/>
          <w:sz w:val="44"/>
          <w:szCs w:val="44"/>
        </w:rPr>
        <w:t>mon droit au bien vieillir, je le revendique,</w:t>
      </w:r>
    </w:p>
    <w:p w14:paraId="45EEF04B" w14:textId="77777777" w:rsidR="008506E8" w:rsidRPr="00574BEC" w:rsidRDefault="008506E8" w:rsidP="008506E8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  <w:r w:rsidRPr="00574BEC">
        <w:rPr>
          <w:rFonts w:ascii="Arial" w:hAnsi="Arial" w:cs="Arial"/>
          <w:b/>
          <w:bCs/>
          <w:color w:val="FF0000"/>
          <w:sz w:val="44"/>
          <w:szCs w:val="44"/>
        </w:rPr>
        <w:t>mes revendications je les défends.</w:t>
      </w:r>
    </w:p>
    <w:p w14:paraId="7A854D27" w14:textId="77777777" w:rsidR="009D67DB" w:rsidRDefault="009D67DB" w:rsidP="00D17EE5">
      <w:pPr>
        <w:autoSpaceDE w:val="0"/>
        <w:autoSpaceDN w:val="0"/>
        <w:adjustRightInd w:val="0"/>
        <w:spacing w:before="120" w:line="240" w:lineRule="auto"/>
        <w:ind w:left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66EDBE30" w14:textId="77777777" w:rsidR="008506E8" w:rsidRPr="00FF72B0" w:rsidRDefault="008506E8" w:rsidP="00D17EE5">
      <w:pPr>
        <w:autoSpaceDE w:val="0"/>
        <w:autoSpaceDN w:val="0"/>
        <w:adjustRightInd w:val="0"/>
        <w:spacing w:before="120" w:line="240" w:lineRule="auto"/>
        <w:ind w:left="0"/>
        <w:jc w:val="center"/>
        <w:rPr>
          <w:rFonts w:ascii="Arial" w:hAnsi="Arial" w:cs="Arial"/>
          <w:b/>
          <w:bCs/>
          <w:sz w:val="32"/>
          <w:szCs w:val="32"/>
        </w:rPr>
      </w:pPr>
      <w:r w:rsidRPr="00FF72B0">
        <w:rPr>
          <w:rFonts w:ascii="Arial" w:hAnsi="Arial" w:cs="Arial"/>
          <w:b/>
          <w:bCs/>
          <w:color w:val="000000"/>
          <w:sz w:val="32"/>
          <w:szCs w:val="32"/>
        </w:rPr>
        <w:t>Alors, pour bien vieillir depuis la naissance, toutes et tous</w:t>
      </w:r>
      <w:r w:rsidR="00966D57"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Pr="00FF72B0">
        <w:rPr>
          <w:rFonts w:ascii="Arial" w:hAnsi="Arial" w:cs="Arial"/>
          <w:b/>
          <w:bCs/>
          <w:color w:val="000000"/>
          <w:sz w:val="32"/>
          <w:szCs w:val="32"/>
        </w:rPr>
        <w:t xml:space="preserve">dans la rue le 1er octobre avec les organisations </w:t>
      </w:r>
      <w:r w:rsidR="00966D57">
        <w:rPr>
          <w:rFonts w:ascii="Arial" w:hAnsi="Arial" w:cs="Arial"/>
          <w:b/>
          <w:bCs/>
          <w:color w:val="000000"/>
          <w:sz w:val="32"/>
          <w:szCs w:val="32"/>
        </w:rPr>
        <w:br/>
      </w:r>
      <w:r w:rsidRPr="00FF72B0">
        <w:rPr>
          <w:rFonts w:ascii="Arial" w:hAnsi="Arial" w:cs="Arial"/>
          <w:b/>
          <w:bCs/>
          <w:color w:val="000000"/>
          <w:sz w:val="32"/>
          <w:szCs w:val="32"/>
        </w:rPr>
        <w:t>CGT, FO, CFTC,</w:t>
      </w:r>
      <w:r w:rsidR="00966D57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FF72B0">
        <w:rPr>
          <w:rFonts w:ascii="Arial" w:hAnsi="Arial" w:cs="Arial"/>
          <w:b/>
          <w:bCs/>
          <w:color w:val="000000"/>
          <w:sz w:val="32"/>
          <w:szCs w:val="32"/>
        </w:rPr>
        <w:t xml:space="preserve">CFE-CGC, FSU, Solidaires, </w:t>
      </w:r>
      <w:r w:rsidR="00966D57">
        <w:rPr>
          <w:rFonts w:ascii="Arial" w:hAnsi="Arial" w:cs="Arial"/>
          <w:b/>
          <w:bCs/>
          <w:color w:val="000000"/>
          <w:sz w:val="32"/>
          <w:szCs w:val="32"/>
        </w:rPr>
        <w:t>CFDT</w:t>
      </w:r>
      <w:r w:rsidRPr="00FF72B0">
        <w:rPr>
          <w:rFonts w:ascii="Arial" w:hAnsi="Arial" w:cs="Arial"/>
          <w:b/>
          <w:bCs/>
          <w:color w:val="000000"/>
          <w:sz w:val="32"/>
          <w:szCs w:val="32"/>
        </w:rPr>
        <w:t xml:space="preserve">, FGR-FP, </w:t>
      </w:r>
      <w:r w:rsidR="00966D57">
        <w:rPr>
          <w:rFonts w:ascii="Arial" w:hAnsi="Arial" w:cs="Arial"/>
          <w:b/>
          <w:bCs/>
          <w:color w:val="000000"/>
          <w:sz w:val="32"/>
          <w:szCs w:val="32"/>
        </w:rPr>
        <w:t>UNSA</w:t>
      </w:r>
      <w:r w:rsidRPr="00FF72B0">
        <w:rPr>
          <w:rFonts w:ascii="Arial" w:hAnsi="Arial" w:cs="Arial"/>
          <w:b/>
          <w:bCs/>
          <w:color w:val="000000"/>
          <w:sz w:val="32"/>
          <w:szCs w:val="32"/>
        </w:rPr>
        <w:t>.</w:t>
      </w:r>
    </w:p>
    <w:p w14:paraId="49A61C5E" w14:textId="77777777" w:rsidR="00966D57" w:rsidRDefault="00966D57" w:rsidP="008506E8">
      <w:pPr>
        <w:ind w:left="0"/>
        <w:rPr>
          <w:rFonts w:ascii="Arial" w:hAnsi="Arial" w:cs="Arial"/>
          <w:sz w:val="20"/>
          <w:szCs w:val="20"/>
        </w:rPr>
      </w:pPr>
    </w:p>
    <w:p w14:paraId="049B0F54" w14:textId="77777777" w:rsidR="009D67DB" w:rsidRDefault="009D67DB" w:rsidP="008506E8">
      <w:pPr>
        <w:ind w:left="0"/>
        <w:rPr>
          <w:rFonts w:ascii="Arial" w:hAnsi="Arial" w:cs="Arial"/>
          <w:sz w:val="20"/>
          <w:szCs w:val="20"/>
        </w:rPr>
      </w:pPr>
    </w:p>
    <w:p w14:paraId="4BA7C070" w14:textId="77777777" w:rsidR="009D67DB" w:rsidRDefault="009D67DB" w:rsidP="008506E8">
      <w:pPr>
        <w:ind w:left="0"/>
        <w:rPr>
          <w:rFonts w:ascii="Arial" w:hAnsi="Arial" w:cs="Arial"/>
          <w:sz w:val="20"/>
          <w:szCs w:val="20"/>
        </w:rPr>
      </w:pPr>
    </w:p>
    <w:p w14:paraId="7D8E67FE" w14:textId="77777777" w:rsidR="008607FC" w:rsidRPr="000F5265" w:rsidRDefault="008607FC" w:rsidP="008506E8">
      <w:pPr>
        <w:ind w:left="0"/>
        <w:rPr>
          <w:rFonts w:ascii="Arial" w:hAnsi="Arial" w:cs="Arial"/>
          <w:sz w:val="20"/>
          <w:szCs w:val="20"/>
        </w:rPr>
      </w:pPr>
    </w:p>
    <w:p w14:paraId="5B387D46" w14:textId="77777777" w:rsidR="00966D57" w:rsidRPr="00966D57" w:rsidRDefault="00966D57" w:rsidP="00214D86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  <w:r w:rsidRPr="00966D57">
        <w:rPr>
          <w:rFonts w:ascii="Arial" w:hAnsi="Arial" w:cs="Arial"/>
          <w:b/>
          <w:bCs/>
          <w:color w:val="FF0000"/>
          <w:sz w:val="44"/>
          <w:szCs w:val="44"/>
        </w:rPr>
        <w:t>MANIFESTATION A EPINAL</w:t>
      </w:r>
    </w:p>
    <w:p w14:paraId="212AC5F7" w14:textId="77777777" w:rsidR="00E44193" w:rsidRDefault="00966D57" w:rsidP="00214D86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  <w:r w:rsidRPr="00966D57">
        <w:rPr>
          <w:rFonts w:ascii="Arial" w:hAnsi="Arial" w:cs="Arial"/>
          <w:b/>
          <w:bCs/>
          <w:color w:val="FF0000"/>
          <w:sz w:val="44"/>
          <w:szCs w:val="44"/>
        </w:rPr>
        <w:t xml:space="preserve">Rendez-vous </w:t>
      </w:r>
      <w:r w:rsidR="00E44193">
        <w:rPr>
          <w:rFonts w:ascii="Arial" w:hAnsi="Arial" w:cs="Arial"/>
          <w:b/>
          <w:bCs/>
          <w:color w:val="FF0000"/>
          <w:sz w:val="44"/>
          <w:szCs w:val="44"/>
        </w:rPr>
        <w:t>le 1</w:t>
      </w:r>
      <w:r w:rsidR="00E44193" w:rsidRPr="00E44193">
        <w:rPr>
          <w:rFonts w:ascii="Arial" w:hAnsi="Arial" w:cs="Arial"/>
          <w:b/>
          <w:bCs/>
          <w:color w:val="FF0000"/>
          <w:sz w:val="44"/>
          <w:szCs w:val="44"/>
          <w:vertAlign w:val="superscript"/>
        </w:rPr>
        <w:t>er</w:t>
      </w:r>
      <w:r w:rsidR="00E44193">
        <w:rPr>
          <w:rFonts w:ascii="Arial" w:hAnsi="Arial" w:cs="Arial"/>
          <w:b/>
          <w:bCs/>
          <w:color w:val="FF0000"/>
          <w:sz w:val="44"/>
          <w:szCs w:val="44"/>
        </w:rPr>
        <w:t xml:space="preserve"> octobre </w:t>
      </w:r>
    </w:p>
    <w:p w14:paraId="00F95EEA" w14:textId="77777777" w:rsidR="00966D57" w:rsidRPr="00966D57" w:rsidRDefault="00966D57" w:rsidP="00214D86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b/>
          <w:bCs/>
          <w:color w:val="FF0000"/>
          <w:sz w:val="44"/>
          <w:szCs w:val="44"/>
        </w:rPr>
      </w:pPr>
      <w:r w:rsidRPr="00966D57">
        <w:rPr>
          <w:rFonts w:ascii="Arial" w:hAnsi="Arial" w:cs="Arial"/>
          <w:b/>
          <w:bCs/>
          <w:color w:val="FF0000"/>
          <w:sz w:val="44"/>
          <w:szCs w:val="44"/>
        </w:rPr>
        <w:t>à 10 heures place Foch</w:t>
      </w:r>
      <w:r w:rsidR="00D17EE5">
        <w:rPr>
          <w:rFonts w:ascii="Arial" w:hAnsi="Arial" w:cs="Arial"/>
          <w:b/>
          <w:bCs/>
          <w:color w:val="FF0000"/>
          <w:sz w:val="44"/>
          <w:szCs w:val="44"/>
        </w:rPr>
        <w:t>,</w:t>
      </w:r>
      <w:r w:rsidR="00D17EE5">
        <w:rPr>
          <w:rFonts w:ascii="Arial" w:hAnsi="Arial" w:cs="Arial"/>
          <w:b/>
          <w:bCs/>
          <w:color w:val="FF0000"/>
          <w:sz w:val="44"/>
          <w:szCs w:val="44"/>
        </w:rPr>
        <w:br/>
      </w:r>
      <w:r w:rsidRPr="00966D57">
        <w:rPr>
          <w:rFonts w:ascii="Arial" w:hAnsi="Arial" w:cs="Arial"/>
          <w:b/>
          <w:bCs/>
          <w:color w:val="FF0000"/>
          <w:sz w:val="44"/>
          <w:szCs w:val="44"/>
        </w:rPr>
        <w:t>devant la Préfecture des Vosges</w:t>
      </w:r>
    </w:p>
    <w:p w14:paraId="79BAE3BD" w14:textId="77777777" w:rsidR="00966D57" w:rsidRDefault="00966D57" w:rsidP="00966D57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11BFB45D" w14:textId="77777777" w:rsidR="008607FC" w:rsidRPr="004C11EC" w:rsidRDefault="008607FC" w:rsidP="00966D57">
      <w:pPr>
        <w:autoSpaceDE w:val="0"/>
        <w:autoSpaceDN w:val="0"/>
        <w:adjustRightInd w:val="0"/>
        <w:spacing w:line="240" w:lineRule="auto"/>
        <w:ind w:left="0"/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277059E" w14:textId="77777777" w:rsidR="00D17EE5" w:rsidRPr="00D17EE5" w:rsidRDefault="00D17EE5" w:rsidP="008506E8">
      <w:pPr>
        <w:ind w:left="0"/>
        <w:rPr>
          <w:rFonts w:ascii="Arial" w:hAnsi="Arial" w:cs="Arial"/>
          <w:b/>
          <w:sz w:val="16"/>
          <w:szCs w:val="16"/>
        </w:rPr>
      </w:pPr>
    </w:p>
    <w:sectPr w:rsidR="00D17EE5" w:rsidRPr="00D17EE5" w:rsidSect="00860F0E">
      <w:headerReference w:type="default" r:id="rId8"/>
      <w:headerReference w:type="firs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9FF94" w14:textId="77777777" w:rsidR="00B262CB" w:rsidRDefault="00B262CB" w:rsidP="00CD23C1">
      <w:pPr>
        <w:spacing w:line="240" w:lineRule="auto"/>
      </w:pPr>
      <w:r>
        <w:separator/>
      </w:r>
    </w:p>
  </w:endnote>
  <w:endnote w:type="continuationSeparator" w:id="0">
    <w:p w14:paraId="2175B97F" w14:textId="77777777" w:rsidR="00B262CB" w:rsidRDefault="00B262CB" w:rsidP="00CD23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CE1F1" w14:textId="77777777" w:rsidR="00B262CB" w:rsidRDefault="00B262CB" w:rsidP="00CD23C1">
      <w:pPr>
        <w:spacing w:line="240" w:lineRule="auto"/>
      </w:pPr>
      <w:r>
        <w:separator/>
      </w:r>
    </w:p>
  </w:footnote>
  <w:footnote w:type="continuationSeparator" w:id="0">
    <w:p w14:paraId="28B5B4A5" w14:textId="77777777" w:rsidR="00B262CB" w:rsidRDefault="00B262CB" w:rsidP="00CD23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C855A" w14:textId="77777777" w:rsidR="00081273" w:rsidRDefault="00081273" w:rsidP="00CD23C1">
    <w:pPr>
      <w:pStyle w:val="En-tte"/>
      <w:tabs>
        <w:tab w:val="clear" w:pos="9072"/>
        <w:tab w:val="right" w:pos="9923"/>
      </w:tabs>
      <w:ind w:left="-85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jc w:val="center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1134"/>
      <w:gridCol w:w="852"/>
      <w:gridCol w:w="1134"/>
      <w:gridCol w:w="992"/>
      <w:gridCol w:w="1701"/>
      <w:gridCol w:w="991"/>
      <w:gridCol w:w="1134"/>
      <w:gridCol w:w="1134"/>
      <w:gridCol w:w="1134"/>
    </w:tblGrid>
    <w:tr w:rsidR="00BB2990" w14:paraId="73FB487A" w14:textId="77777777" w:rsidTr="00145D71">
      <w:trPr>
        <w:jc w:val="center"/>
      </w:trPr>
      <w:tc>
        <w:tcPr>
          <w:tcW w:w="1134" w:type="dxa"/>
          <w:vAlign w:val="center"/>
        </w:tcPr>
        <w:p w14:paraId="3AB7BFFD" w14:textId="77777777" w:rsidR="00BB2990" w:rsidRDefault="00A04F3B" w:rsidP="00145D71">
          <w:pPr>
            <w:pStyle w:val="En-tte"/>
            <w:tabs>
              <w:tab w:val="clear" w:pos="9072"/>
              <w:tab w:val="right" w:pos="9923"/>
            </w:tabs>
            <w:ind w:left="0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23BA38BD" wp14:editId="3A1F628F">
                <wp:extent cx="714375" cy="466725"/>
                <wp:effectExtent l="19050" t="0" r="9525" b="0"/>
                <wp:docPr id="1" name="Image 1" descr="cfd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fd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" w:type="dxa"/>
          <w:vAlign w:val="center"/>
        </w:tcPr>
        <w:p w14:paraId="364D21BB" w14:textId="77777777" w:rsidR="00BB2990" w:rsidRDefault="00A04F3B" w:rsidP="00145D71">
          <w:pPr>
            <w:pStyle w:val="En-tte"/>
            <w:tabs>
              <w:tab w:val="clear" w:pos="9072"/>
              <w:tab w:val="right" w:pos="9923"/>
            </w:tabs>
            <w:ind w:left="0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6114CEC1" wp14:editId="764CB4E7">
                <wp:extent cx="352425" cy="466725"/>
                <wp:effectExtent l="19050" t="0" r="9525" b="0"/>
                <wp:docPr id="2" name="Image 2" descr="cgt uc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gt uc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4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Align w:val="center"/>
        </w:tcPr>
        <w:p w14:paraId="4813CE16" w14:textId="77777777" w:rsidR="00BB2990" w:rsidRDefault="00A04F3B" w:rsidP="00145D71">
          <w:pPr>
            <w:pStyle w:val="En-tte"/>
            <w:tabs>
              <w:tab w:val="clear" w:pos="9072"/>
              <w:tab w:val="right" w:pos="9923"/>
            </w:tabs>
            <w:ind w:left="0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77C4E63E" wp14:editId="57C1E11E">
                <wp:extent cx="609600" cy="466725"/>
                <wp:effectExtent l="19050" t="0" r="0" b="0"/>
                <wp:docPr id="3" name="Image 3" descr="Logo de l’associa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de l’associa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" w:type="dxa"/>
          <w:vAlign w:val="center"/>
        </w:tcPr>
        <w:p w14:paraId="3AD602F3" w14:textId="77777777" w:rsidR="00BB2990" w:rsidRDefault="00A04F3B" w:rsidP="00145D71">
          <w:pPr>
            <w:pStyle w:val="En-tte"/>
            <w:tabs>
              <w:tab w:val="clear" w:pos="9072"/>
              <w:tab w:val="right" w:pos="9923"/>
            </w:tabs>
            <w:ind w:left="0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43E61AD5" wp14:editId="6DA03C89">
                <wp:extent cx="628650" cy="466725"/>
                <wp:effectExtent l="19050" t="0" r="0" b="0"/>
                <wp:docPr id="4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  <w:vAlign w:val="center"/>
        </w:tcPr>
        <w:p w14:paraId="3F3BFFC4" w14:textId="77777777" w:rsidR="00BB2990" w:rsidRDefault="00A04F3B" w:rsidP="00145D71">
          <w:pPr>
            <w:pStyle w:val="En-tte"/>
            <w:tabs>
              <w:tab w:val="clear" w:pos="9072"/>
              <w:tab w:val="right" w:pos="9923"/>
            </w:tabs>
            <w:ind w:left="0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373F47D6" wp14:editId="11B39E28">
                <wp:extent cx="847725" cy="466725"/>
                <wp:effectExtent l="19050" t="0" r="9525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1" w:type="dxa"/>
          <w:vAlign w:val="center"/>
        </w:tcPr>
        <w:p w14:paraId="7BCFD3B9" w14:textId="77777777" w:rsidR="00BB2990" w:rsidRDefault="00A04F3B" w:rsidP="00145D71">
          <w:pPr>
            <w:pStyle w:val="En-tte"/>
            <w:tabs>
              <w:tab w:val="clear" w:pos="9072"/>
              <w:tab w:val="right" w:pos="9923"/>
            </w:tabs>
            <w:ind w:left="0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32C72DF6" wp14:editId="1E3B1082">
                <wp:extent cx="485775" cy="466725"/>
                <wp:effectExtent l="19050" t="0" r="9525" b="0"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577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Align w:val="center"/>
        </w:tcPr>
        <w:p w14:paraId="6EFA5205" w14:textId="77777777" w:rsidR="00BB2990" w:rsidRDefault="00A04F3B" w:rsidP="00145D71">
          <w:pPr>
            <w:pStyle w:val="En-tte"/>
            <w:tabs>
              <w:tab w:val="clear" w:pos="9072"/>
              <w:tab w:val="right" w:pos="9923"/>
            </w:tabs>
            <w:ind w:left="0"/>
            <w:jc w:val="center"/>
          </w:pPr>
          <w:r>
            <w:rPr>
              <w:noProof/>
              <w:lang w:eastAsia="fr-FR"/>
            </w:rPr>
            <w:drawing>
              <wp:inline distT="0" distB="0" distL="0" distR="0" wp14:anchorId="5AF51268" wp14:editId="06D00F0E">
                <wp:extent cx="571500" cy="466725"/>
                <wp:effectExtent l="1905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Align w:val="center"/>
        </w:tcPr>
        <w:p w14:paraId="142986BA" w14:textId="77777777" w:rsidR="00BB2990" w:rsidRDefault="00A04F3B" w:rsidP="00145D71">
          <w:pPr>
            <w:pStyle w:val="En-tte"/>
            <w:tabs>
              <w:tab w:val="clear" w:pos="9072"/>
              <w:tab w:val="right" w:pos="9923"/>
            </w:tabs>
            <w:ind w:left="0"/>
            <w:jc w:val="center"/>
          </w:pPr>
          <w:r>
            <w:rPr>
              <w:noProof/>
              <w:sz w:val="52"/>
              <w:lang w:eastAsia="fr-FR"/>
            </w:rPr>
            <w:drawing>
              <wp:inline distT="0" distB="0" distL="0" distR="0" wp14:anchorId="76DE3571" wp14:editId="45B53A71">
                <wp:extent cx="457200" cy="466725"/>
                <wp:effectExtent l="19050" t="0" r="0" b="0"/>
                <wp:docPr id="8" name="Image 8" descr="Logo UNSA Retraités - 3 (00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Logo UNSA Retraités - 3 (00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vAlign w:val="center"/>
        </w:tcPr>
        <w:p w14:paraId="18223942" w14:textId="77777777" w:rsidR="00BB2990" w:rsidRDefault="00A04F3B" w:rsidP="00145D71">
          <w:pPr>
            <w:pStyle w:val="En-tte"/>
            <w:tabs>
              <w:tab w:val="clear" w:pos="9072"/>
              <w:tab w:val="right" w:pos="9923"/>
            </w:tabs>
            <w:ind w:left="0"/>
            <w:jc w:val="center"/>
          </w:pPr>
          <w:r>
            <w:rPr>
              <w:noProof/>
              <w:sz w:val="52"/>
              <w:lang w:eastAsia="fr-FR"/>
            </w:rPr>
            <w:drawing>
              <wp:inline distT="0" distB="0" distL="0" distR="0" wp14:anchorId="548FEDC5" wp14:editId="30A18DE9">
                <wp:extent cx="466725" cy="466725"/>
                <wp:effectExtent l="19050" t="0" r="9525" b="0"/>
                <wp:docPr id="9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A1876AC" w14:textId="77777777" w:rsidR="00BB2990" w:rsidRDefault="00BB2990" w:rsidP="00BB2990">
    <w:pPr>
      <w:pStyle w:val="En-tte"/>
      <w:ind w:left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4259E"/>
    <w:multiLevelType w:val="hybridMultilevel"/>
    <w:tmpl w:val="9F06321C"/>
    <w:lvl w:ilvl="0" w:tplc="C7DE35A0">
      <w:numFmt w:val="bullet"/>
      <w:lvlText w:val="-"/>
      <w:lvlJc w:val="left"/>
      <w:pPr>
        <w:ind w:left="1068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0C3EBB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05E7B63"/>
    <w:multiLevelType w:val="multilevel"/>
    <w:tmpl w:val="A7C0F5E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2CA551C"/>
    <w:multiLevelType w:val="hybridMultilevel"/>
    <w:tmpl w:val="5236400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43F480B"/>
    <w:multiLevelType w:val="hybridMultilevel"/>
    <w:tmpl w:val="2D0A2D46"/>
    <w:lvl w:ilvl="0" w:tplc="3E5E25F8">
      <w:numFmt w:val="bullet"/>
      <w:lvlText w:val="̵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62C7D"/>
    <w:multiLevelType w:val="hybridMultilevel"/>
    <w:tmpl w:val="A72E4234"/>
    <w:lvl w:ilvl="0" w:tplc="1472C28A">
      <w:numFmt w:val="bullet"/>
      <w:lvlText w:val="-"/>
      <w:lvlJc w:val="left"/>
      <w:pPr>
        <w:ind w:left="1769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9" w:hanging="360"/>
      </w:pPr>
      <w:rPr>
        <w:rFonts w:ascii="Wingdings" w:hAnsi="Wingdings" w:hint="default"/>
      </w:rPr>
    </w:lvl>
  </w:abstractNum>
  <w:abstractNum w:abstractNumId="6" w15:restartNumberingAfterBreak="0">
    <w:nsid w:val="68B522AB"/>
    <w:multiLevelType w:val="hybridMultilevel"/>
    <w:tmpl w:val="431A97E8"/>
    <w:lvl w:ilvl="0" w:tplc="040C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7" w15:restartNumberingAfterBreak="0">
    <w:nsid w:val="6B9748D3"/>
    <w:multiLevelType w:val="hybridMultilevel"/>
    <w:tmpl w:val="117E78E8"/>
    <w:lvl w:ilvl="0" w:tplc="C7440A64">
      <w:numFmt w:val="bullet"/>
      <w:lvlText w:val="-"/>
      <w:lvlJc w:val="left"/>
      <w:pPr>
        <w:ind w:left="1773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8" w15:restartNumberingAfterBreak="0">
    <w:nsid w:val="6C9966F5"/>
    <w:multiLevelType w:val="hybridMultilevel"/>
    <w:tmpl w:val="192C283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F6B2DA9"/>
    <w:multiLevelType w:val="hybridMultilevel"/>
    <w:tmpl w:val="673A84D6"/>
    <w:lvl w:ilvl="0" w:tplc="040C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25" w:hanging="360"/>
      </w:pPr>
    </w:lvl>
    <w:lvl w:ilvl="2" w:tplc="040C001B" w:tentative="1">
      <w:start w:val="1"/>
      <w:numFmt w:val="lowerRoman"/>
      <w:lvlText w:val="%3."/>
      <w:lvlJc w:val="right"/>
      <w:pPr>
        <w:ind w:left="2145" w:hanging="180"/>
      </w:pPr>
    </w:lvl>
    <w:lvl w:ilvl="3" w:tplc="040C000F" w:tentative="1">
      <w:start w:val="1"/>
      <w:numFmt w:val="decimal"/>
      <w:lvlText w:val="%4."/>
      <w:lvlJc w:val="left"/>
      <w:pPr>
        <w:ind w:left="2865" w:hanging="360"/>
      </w:pPr>
    </w:lvl>
    <w:lvl w:ilvl="4" w:tplc="040C0019" w:tentative="1">
      <w:start w:val="1"/>
      <w:numFmt w:val="lowerLetter"/>
      <w:lvlText w:val="%5."/>
      <w:lvlJc w:val="left"/>
      <w:pPr>
        <w:ind w:left="3585" w:hanging="360"/>
      </w:pPr>
    </w:lvl>
    <w:lvl w:ilvl="5" w:tplc="040C001B" w:tentative="1">
      <w:start w:val="1"/>
      <w:numFmt w:val="lowerRoman"/>
      <w:lvlText w:val="%6."/>
      <w:lvlJc w:val="right"/>
      <w:pPr>
        <w:ind w:left="4305" w:hanging="180"/>
      </w:pPr>
    </w:lvl>
    <w:lvl w:ilvl="6" w:tplc="040C000F" w:tentative="1">
      <w:start w:val="1"/>
      <w:numFmt w:val="decimal"/>
      <w:lvlText w:val="%7."/>
      <w:lvlJc w:val="left"/>
      <w:pPr>
        <w:ind w:left="5025" w:hanging="360"/>
      </w:pPr>
    </w:lvl>
    <w:lvl w:ilvl="7" w:tplc="040C0019" w:tentative="1">
      <w:start w:val="1"/>
      <w:numFmt w:val="lowerLetter"/>
      <w:lvlText w:val="%8."/>
      <w:lvlJc w:val="left"/>
      <w:pPr>
        <w:ind w:left="5745" w:hanging="360"/>
      </w:pPr>
    </w:lvl>
    <w:lvl w:ilvl="8" w:tplc="040C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235"/>
    <w:rsid w:val="0006538A"/>
    <w:rsid w:val="00081273"/>
    <w:rsid w:val="00095F8E"/>
    <w:rsid w:val="000A360D"/>
    <w:rsid w:val="000F1440"/>
    <w:rsid w:val="000F5265"/>
    <w:rsid w:val="00115958"/>
    <w:rsid w:val="00145D71"/>
    <w:rsid w:val="00147EE5"/>
    <w:rsid w:val="001D4EB5"/>
    <w:rsid w:val="002118D4"/>
    <w:rsid w:val="00214D86"/>
    <w:rsid w:val="002170B9"/>
    <w:rsid w:val="00217475"/>
    <w:rsid w:val="00217DB4"/>
    <w:rsid w:val="002332C0"/>
    <w:rsid w:val="00237C0F"/>
    <w:rsid w:val="00254013"/>
    <w:rsid w:val="0031699C"/>
    <w:rsid w:val="0033123F"/>
    <w:rsid w:val="00340532"/>
    <w:rsid w:val="00371184"/>
    <w:rsid w:val="00377406"/>
    <w:rsid w:val="003B257D"/>
    <w:rsid w:val="003B4AD4"/>
    <w:rsid w:val="003C5B98"/>
    <w:rsid w:val="003D128C"/>
    <w:rsid w:val="003F6A9A"/>
    <w:rsid w:val="00417DEB"/>
    <w:rsid w:val="0042074F"/>
    <w:rsid w:val="00475D8D"/>
    <w:rsid w:val="004C11EC"/>
    <w:rsid w:val="004D0745"/>
    <w:rsid w:val="00525CD1"/>
    <w:rsid w:val="005269C2"/>
    <w:rsid w:val="00582421"/>
    <w:rsid w:val="005A300D"/>
    <w:rsid w:val="005D015F"/>
    <w:rsid w:val="006113B1"/>
    <w:rsid w:val="006226CE"/>
    <w:rsid w:val="00653716"/>
    <w:rsid w:val="00692789"/>
    <w:rsid w:val="006A655E"/>
    <w:rsid w:val="006B2BC2"/>
    <w:rsid w:val="007167DC"/>
    <w:rsid w:val="007476C7"/>
    <w:rsid w:val="00763653"/>
    <w:rsid w:val="00796B90"/>
    <w:rsid w:val="007A239F"/>
    <w:rsid w:val="007A33C2"/>
    <w:rsid w:val="007D5384"/>
    <w:rsid w:val="007E6B59"/>
    <w:rsid w:val="00821276"/>
    <w:rsid w:val="008224A4"/>
    <w:rsid w:val="008228C1"/>
    <w:rsid w:val="008506E8"/>
    <w:rsid w:val="008607FC"/>
    <w:rsid w:val="00860F0E"/>
    <w:rsid w:val="008D20E7"/>
    <w:rsid w:val="008E7709"/>
    <w:rsid w:val="00912235"/>
    <w:rsid w:val="009263E9"/>
    <w:rsid w:val="00936F43"/>
    <w:rsid w:val="00964A8D"/>
    <w:rsid w:val="00966D57"/>
    <w:rsid w:val="009938E0"/>
    <w:rsid w:val="009A7338"/>
    <w:rsid w:val="009D67DB"/>
    <w:rsid w:val="009F6949"/>
    <w:rsid w:val="00A04F3B"/>
    <w:rsid w:val="00A05D1F"/>
    <w:rsid w:val="00A0747C"/>
    <w:rsid w:val="00A11B1F"/>
    <w:rsid w:val="00A24492"/>
    <w:rsid w:val="00A53020"/>
    <w:rsid w:val="00A530E4"/>
    <w:rsid w:val="00A55C2E"/>
    <w:rsid w:val="00A938B6"/>
    <w:rsid w:val="00AD7BA8"/>
    <w:rsid w:val="00AE2686"/>
    <w:rsid w:val="00B17627"/>
    <w:rsid w:val="00B177AF"/>
    <w:rsid w:val="00B262CB"/>
    <w:rsid w:val="00B457FB"/>
    <w:rsid w:val="00B46D18"/>
    <w:rsid w:val="00B76BB8"/>
    <w:rsid w:val="00B84D92"/>
    <w:rsid w:val="00B8619C"/>
    <w:rsid w:val="00BB101C"/>
    <w:rsid w:val="00BB2990"/>
    <w:rsid w:val="00C13014"/>
    <w:rsid w:val="00C1428B"/>
    <w:rsid w:val="00C32D4C"/>
    <w:rsid w:val="00C45F5E"/>
    <w:rsid w:val="00C552AD"/>
    <w:rsid w:val="00C55E2D"/>
    <w:rsid w:val="00C874C9"/>
    <w:rsid w:val="00C92DCE"/>
    <w:rsid w:val="00CA16EA"/>
    <w:rsid w:val="00CB0F4E"/>
    <w:rsid w:val="00CC565C"/>
    <w:rsid w:val="00CD23C1"/>
    <w:rsid w:val="00CE7D79"/>
    <w:rsid w:val="00CF4C9B"/>
    <w:rsid w:val="00D06524"/>
    <w:rsid w:val="00D17EE5"/>
    <w:rsid w:val="00D42CAA"/>
    <w:rsid w:val="00D72787"/>
    <w:rsid w:val="00D95C1A"/>
    <w:rsid w:val="00DA1A81"/>
    <w:rsid w:val="00DC7E09"/>
    <w:rsid w:val="00DE011C"/>
    <w:rsid w:val="00E17187"/>
    <w:rsid w:val="00E44193"/>
    <w:rsid w:val="00E63C78"/>
    <w:rsid w:val="00E7243A"/>
    <w:rsid w:val="00E75BCB"/>
    <w:rsid w:val="00E77C26"/>
    <w:rsid w:val="00EA70FD"/>
    <w:rsid w:val="00EE7FCB"/>
    <w:rsid w:val="00F30BD9"/>
    <w:rsid w:val="00F473DF"/>
    <w:rsid w:val="00F51C61"/>
    <w:rsid w:val="00F729FF"/>
    <w:rsid w:val="00F730C0"/>
    <w:rsid w:val="00FB49A2"/>
    <w:rsid w:val="00FD15AA"/>
    <w:rsid w:val="00FF3545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099527"/>
  <w15:docId w15:val="{A634B391-7D6B-4D96-B6BD-56B7F93F5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1440"/>
    <w:pPr>
      <w:spacing w:line="276" w:lineRule="auto"/>
      <w:ind w:left="720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CD23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D23C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CD23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D23C1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936F43"/>
    <w:pPr>
      <w:ind w:left="708"/>
    </w:pPr>
  </w:style>
  <w:style w:type="character" w:styleId="Lienhypertexte">
    <w:name w:val="Hyperlink"/>
    <w:basedOn w:val="Policepardfaut"/>
    <w:semiHidden/>
    <w:rsid w:val="00CA16E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B10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101C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39"/>
    <w:rsid w:val="000812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7A33C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A33C2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7A33C2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7EE5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17EE5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D17E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75F25D-9882-48E5-8273-F610A2FE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712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4622</CharactersWithSpaces>
  <SharedDoc>false</SharedDoc>
  <HLinks>
    <vt:vector size="6" baseType="variant">
      <vt:variant>
        <vt:i4>4456505</vt:i4>
      </vt:variant>
      <vt:variant>
        <vt:i4>0</vt:i4>
      </vt:variant>
      <vt:variant>
        <vt:i4>0</vt:i4>
      </vt:variant>
      <vt:variant>
        <vt:i4>5</vt:i4>
      </vt:variant>
      <vt:variant>
        <vt:lpwstr>mailto:usrcgr-vosges@laposte.net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Chantal</cp:lastModifiedBy>
  <cp:revision>7</cp:revision>
  <cp:lastPrinted>2019-05-02T14:58:00Z</cp:lastPrinted>
  <dcterms:created xsi:type="dcterms:W3CDTF">2021-09-14T13:07:00Z</dcterms:created>
  <dcterms:modified xsi:type="dcterms:W3CDTF">2021-09-15T17:00:00Z</dcterms:modified>
</cp:coreProperties>
</file>